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AC58DB" w:rsidRPr="00B14E52" w14:paraId="48AC00E7" w14:textId="77777777" w:rsidTr="00217A98">
        <w:tc>
          <w:tcPr>
            <w:tcW w:w="11058" w:type="dxa"/>
            <w:gridSpan w:val="2"/>
            <w:shd w:val="clear" w:color="auto" w:fill="D9D9D9" w:themeFill="background1" w:themeFillShade="D9"/>
          </w:tcPr>
          <w:p w14:paraId="5CE843CC" w14:textId="26840906" w:rsidR="00905004" w:rsidRPr="00B14E52" w:rsidRDefault="007D0346" w:rsidP="00B231EC">
            <w:pPr>
              <w:tabs>
                <w:tab w:val="left" w:pos="190"/>
                <w:tab w:val="center" w:pos="5421"/>
              </w:tabs>
              <w:suppressAutoHyphens/>
              <w:spacing w:after="0" w:line="240" w:lineRule="auto"/>
              <w:ind w:right="141"/>
              <w:rPr>
                <w:rFonts w:asciiTheme="majorHAnsi" w:hAnsiTheme="majorHAnsi" w:cstheme="majorHAnsi"/>
                <w:b/>
                <w:bCs/>
                <w:position w:val="-34"/>
                <w:sz w:val="23"/>
                <w:szCs w:val="23"/>
                <w:lang w:val="lt-LT"/>
              </w:rPr>
            </w:pPr>
            <w:bookmarkStart w:id="0" w:name="_Hlk94438483"/>
            <w:r w:rsidRPr="00B14E52">
              <w:rPr>
                <w:rFonts w:asciiTheme="majorHAnsi" w:hAnsiTheme="majorHAnsi" w:cstheme="majorHAnsi"/>
                <w:b/>
                <w:bCs/>
                <w:position w:val="-34"/>
                <w:sz w:val="23"/>
                <w:szCs w:val="23"/>
                <w:lang w:val="lt-LT"/>
              </w:rPr>
              <w:tab/>
            </w:r>
            <w:r w:rsidRPr="00B14E52">
              <w:rPr>
                <w:rFonts w:asciiTheme="majorHAnsi" w:hAnsiTheme="majorHAnsi" w:cstheme="majorHAnsi"/>
                <w:b/>
                <w:bCs/>
                <w:position w:val="-34"/>
                <w:sz w:val="23"/>
                <w:szCs w:val="23"/>
                <w:lang w:val="lt-LT"/>
              </w:rPr>
              <w:tab/>
            </w:r>
            <w:r w:rsidR="00BA7610" w:rsidRPr="00B14E52">
              <w:rPr>
                <w:rFonts w:asciiTheme="majorHAnsi" w:hAnsiTheme="majorHAnsi" w:cstheme="majorHAnsi"/>
                <w:b/>
                <w:bCs/>
                <w:position w:val="-34"/>
                <w:sz w:val="23"/>
                <w:szCs w:val="23"/>
                <w:lang w:val="lt-LT"/>
              </w:rPr>
              <w:t>UŽDAROSIOS AKCINĖS BENDROVĖS</w:t>
            </w:r>
            <w:r w:rsidR="0027040D" w:rsidRPr="00B14E52">
              <w:rPr>
                <w:rFonts w:asciiTheme="majorHAnsi" w:hAnsiTheme="majorHAnsi" w:cstheme="majorHAnsi"/>
                <w:b/>
                <w:bCs/>
                <w:position w:val="-34"/>
                <w:sz w:val="23"/>
                <w:szCs w:val="23"/>
                <w:lang w:val="lt-LT"/>
              </w:rPr>
              <w:t xml:space="preserve"> „VILNIAUS VANDENYS“ </w:t>
            </w:r>
            <w:r w:rsidR="009D499C" w:rsidRPr="00674DA9">
              <w:rPr>
                <w:rFonts w:asciiTheme="majorHAnsi" w:hAnsiTheme="majorHAnsi" w:cstheme="majorHAnsi"/>
                <w:b/>
                <w:bCs/>
                <w:position w:val="-34"/>
                <w:sz w:val="23"/>
                <w:szCs w:val="23"/>
                <w:lang w:val="lt-LT"/>
              </w:rPr>
              <w:t xml:space="preserve">VALDYBOS FORMAVIMO </w:t>
            </w:r>
            <w:r w:rsidR="00674DA9" w:rsidRPr="00674DA9">
              <w:rPr>
                <w:rFonts w:asciiTheme="majorHAnsi" w:hAnsiTheme="majorHAnsi" w:cstheme="majorHAnsi"/>
                <w:b/>
                <w:bCs/>
                <w:position w:val="-34"/>
                <w:sz w:val="23"/>
                <w:szCs w:val="23"/>
                <w:lang w:val="lt-LT"/>
              </w:rPr>
              <w:t>POLITIKA</w:t>
            </w:r>
          </w:p>
          <w:p w14:paraId="27FA4EC1" w14:textId="0E6F3F9E" w:rsidR="00CE59BE" w:rsidRPr="00B14E52" w:rsidRDefault="00CE59BE" w:rsidP="00C72786">
            <w:pPr>
              <w:suppressAutoHyphens/>
              <w:spacing w:after="0" w:line="240" w:lineRule="auto"/>
              <w:ind w:left="-110" w:right="141"/>
              <w:jc w:val="center"/>
              <w:rPr>
                <w:rFonts w:asciiTheme="majorHAnsi" w:hAnsiTheme="majorHAnsi" w:cstheme="majorHAnsi"/>
                <w:color w:val="000000"/>
                <w:sz w:val="23"/>
                <w:szCs w:val="23"/>
                <w:lang w:val="lt-LT"/>
              </w:rPr>
            </w:pPr>
          </w:p>
        </w:tc>
      </w:tr>
      <w:tr w:rsidR="00807C45" w:rsidRPr="00B14E52" w14:paraId="0ADF4E2C" w14:textId="77777777" w:rsidTr="00217A98">
        <w:trPr>
          <w:trHeight w:val="300"/>
        </w:trPr>
        <w:tc>
          <w:tcPr>
            <w:tcW w:w="1986" w:type="dxa"/>
            <w:shd w:val="clear" w:color="auto" w:fill="auto"/>
          </w:tcPr>
          <w:p w14:paraId="09AB8001" w14:textId="77777777" w:rsidR="00905004" w:rsidRPr="00B14E52" w:rsidRDefault="00905004" w:rsidP="00B231EC">
            <w:pPr>
              <w:suppressAutoHyphens/>
              <w:spacing w:after="0"/>
              <w:ind w:right="141"/>
              <w:rPr>
                <w:rFonts w:asciiTheme="majorHAnsi" w:hAnsiTheme="majorHAnsi" w:cstheme="majorHAnsi"/>
                <w:color w:val="000000"/>
                <w:sz w:val="23"/>
                <w:szCs w:val="23"/>
                <w:lang w:val="lt-LT"/>
              </w:rPr>
            </w:pPr>
            <w:r w:rsidRPr="00B14E52">
              <w:rPr>
                <w:rFonts w:asciiTheme="majorHAnsi" w:hAnsiTheme="majorHAnsi" w:cstheme="majorHAnsi"/>
                <w:b/>
                <w:bCs/>
                <w:color w:val="000000"/>
                <w:sz w:val="23"/>
                <w:szCs w:val="23"/>
                <w:lang w:val="lt-LT"/>
              </w:rPr>
              <w:t>Tikslas</w:t>
            </w:r>
          </w:p>
        </w:tc>
        <w:tc>
          <w:tcPr>
            <w:tcW w:w="9072" w:type="dxa"/>
            <w:shd w:val="clear" w:color="auto" w:fill="auto"/>
          </w:tcPr>
          <w:p w14:paraId="135A50ED" w14:textId="4272102F" w:rsidR="00905004" w:rsidRPr="00B231EC" w:rsidRDefault="001B7250" w:rsidP="00B231EC">
            <w:pPr>
              <w:suppressAutoHyphens/>
              <w:spacing w:after="0"/>
              <w:ind w:right="141"/>
              <w:jc w:val="both"/>
              <w:rPr>
                <w:rFonts w:asciiTheme="majorHAnsi" w:hAnsiTheme="majorHAnsi" w:cstheme="majorHAnsi"/>
                <w:sz w:val="23"/>
                <w:szCs w:val="23"/>
                <w:lang w:val="lt-LT"/>
              </w:rPr>
            </w:pPr>
            <w:r w:rsidRPr="00B14E52">
              <w:rPr>
                <w:rFonts w:asciiTheme="majorHAnsi" w:hAnsiTheme="majorHAnsi" w:cstheme="majorHAnsi"/>
                <w:sz w:val="23"/>
                <w:szCs w:val="23"/>
                <w:lang w:val="lt-LT"/>
              </w:rPr>
              <w:t>Aprašyti</w:t>
            </w:r>
            <w:r w:rsidR="008250AA" w:rsidRPr="00B14E52">
              <w:rPr>
                <w:rFonts w:asciiTheme="majorHAnsi" w:hAnsiTheme="majorHAnsi" w:cstheme="majorHAnsi"/>
                <w:sz w:val="23"/>
                <w:szCs w:val="23"/>
                <w:lang w:val="lt-LT"/>
              </w:rPr>
              <w:t xml:space="preserve"> Bendrovės</w:t>
            </w:r>
            <w:r w:rsidRPr="00B14E52">
              <w:rPr>
                <w:rFonts w:asciiTheme="majorHAnsi" w:hAnsiTheme="majorHAnsi" w:cstheme="majorHAnsi"/>
                <w:sz w:val="23"/>
                <w:szCs w:val="23"/>
                <w:lang w:val="lt-LT"/>
              </w:rPr>
              <w:t xml:space="preserve"> ir </w:t>
            </w:r>
            <w:r w:rsidR="00EB522F" w:rsidRPr="00B14E52">
              <w:rPr>
                <w:rFonts w:asciiTheme="majorHAnsi" w:hAnsiTheme="majorHAnsi" w:cstheme="majorHAnsi"/>
                <w:sz w:val="23"/>
                <w:szCs w:val="23"/>
                <w:lang w:val="lt-LT"/>
              </w:rPr>
              <w:t xml:space="preserve">veikiančios </w:t>
            </w:r>
            <w:r w:rsidRPr="00B14E52">
              <w:rPr>
                <w:rFonts w:asciiTheme="majorHAnsi" w:hAnsiTheme="majorHAnsi" w:cstheme="majorHAnsi"/>
                <w:sz w:val="23"/>
                <w:szCs w:val="23"/>
                <w:lang w:val="lt-LT"/>
              </w:rPr>
              <w:t xml:space="preserve">valdybos įsitraukimo </w:t>
            </w:r>
            <w:r w:rsidR="0005751A" w:rsidRPr="00B14E52">
              <w:rPr>
                <w:rFonts w:asciiTheme="majorHAnsi" w:hAnsiTheme="majorHAnsi" w:cstheme="majorHAnsi"/>
                <w:sz w:val="23"/>
                <w:szCs w:val="23"/>
                <w:lang w:val="lt-LT"/>
              </w:rPr>
              <w:t xml:space="preserve">į </w:t>
            </w:r>
            <w:r w:rsidR="00726D9F" w:rsidRPr="00B14E52">
              <w:rPr>
                <w:rFonts w:asciiTheme="majorHAnsi" w:hAnsiTheme="majorHAnsi" w:cstheme="majorHAnsi"/>
                <w:sz w:val="23"/>
                <w:szCs w:val="23"/>
                <w:lang w:val="lt-LT"/>
              </w:rPr>
              <w:t>Bendrovės naujos kadencijos valdybos</w:t>
            </w:r>
            <w:r w:rsidR="00402CEE" w:rsidRPr="00B14E52">
              <w:rPr>
                <w:rFonts w:asciiTheme="majorHAnsi" w:hAnsiTheme="majorHAnsi" w:cstheme="majorHAnsi"/>
                <w:sz w:val="23"/>
                <w:szCs w:val="23"/>
                <w:lang w:val="lt-LT"/>
              </w:rPr>
              <w:t xml:space="preserve">, </w:t>
            </w:r>
            <w:r w:rsidR="00CD1B83">
              <w:rPr>
                <w:rFonts w:asciiTheme="majorHAnsi" w:hAnsiTheme="majorHAnsi" w:cstheme="majorHAnsi"/>
                <w:sz w:val="23"/>
                <w:szCs w:val="23"/>
                <w:lang w:val="lt-LT"/>
              </w:rPr>
              <w:t xml:space="preserve">ar </w:t>
            </w:r>
            <w:r w:rsidR="00402CEE" w:rsidRPr="00B14E52">
              <w:rPr>
                <w:rFonts w:asciiTheme="majorHAnsi" w:hAnsiTheme="majorHAnsi" w:cstheme="majorHAnsi"/>
                <w:sz w:val="23"/>
                <w:szCs w:val="23"/>
                <w:lang w:val="lt-LT"/>
              </w:rPr>
              <w:t xml:space="preserve">atskiro </w:t>
            </w:r>
            <w:r w:rsidR="00C65601" w:rsidRPr="00B14E52">
              <w:rPr>
                <w:rFonts w:asciiTheme="majorHAnsi" w:hAnsiTheme="majorHAnsi" w:cstheme="majorHAnsi"/>
                <w:sz w:val="23"/>
                <w:szCs w:val="23"/>
                <w:lang w:val="lt-LT"/>
              </w:rPr>
              <w:t xml:space="preserve">valdybos </w:t>
            </w:r>
            <w:r w:rsidR="00402CEE" w:rsidRPr="00B14E52">
              <w:rPr>
                <w:rFonts w:asciiTheme="majorHAnsi" w:hAnsiTheme="majorHAnsi" w:cstheme="majorHAnsi"/>
                <w:sz w:val="23"/>
                <w:szCs w:val="23"/>
                <w:lang w:val="lt-LT"/>
              </w:rPr>
              <w:t>nario</w:t>
            </w:r>
            <w:r w:rsidR="00726D9F" w:rsidRPr="00B14E52">
              <w:rPr>
                <w:rFonts w:asciiTheme="majorHAnsi" w:hAnsiTheme="majorHAnsi" w:cstheme="majorHAnsi"/>
                <w:sz w:val="23"/>
                <w:szCs w:val="23"/>
                <w:lang w:val="lt-LT"/>
              </w:rPr>
              <w:t xml:space="preserve"> atrank</w:t>
            </w:r>
            <w:r w:rsidR="00BF4827" w:rsidRPr="00B14E52">
              <w:rPr>
                <w:rFonts w:asciiTheme="majorHAnsi" w:hAnsiTheme="majorHAnsi" w:cstheme="majorHAnsi"/>
                <w:sz w:val="23"/>
                <w:szCs w:val="23"/>
                <w:lang w:val="lt-LT"/>
              </w:rPr>
              <w:t>os procesą</w:t>
            </w:r>
            <w:r w:rsidR="00CD1B83">
              <w:rPr>
                <w:rFonts w:asciiTheme="majorHAnsi" w:hAnsiTheme="majorHAnsi" w:cstheme="majorHAnsi"/>
                <w:sz w:val="23"/>
                <w:szCs w:val="23"/>
                <w:lang w:val="lt-LT"/>
              </w:rPr>
              <w:t>,</w:t>
            </w:r>
            <w:r w:rsidR="00726D9F" w:rsidRPr="00B14E52">
              <w:rPr>
                <w:rFonts w:asciiTheme="majorHAnsi" w:hAnsiTheme="majorHAnsi" w:cstheme="majorHAnsi"/>
                <w:sz w:val="23"/>
                <w:szCs w:val="23"/>
                <w:lang w:val="lt-LT"/>
              </w:rPr>
              <w:t xml:space="preserve"> </w:t>
            </w:r>
            <w:r w:rsidR="008250AA" w:rsidRPr="00B14E52">
              <w:rPr>
                <w:rFonts w:asciiTheme="majorHAnsi" w:hAnsiTheme="majorHAnsi" w:cstheme="majorHAnsi"/>
                <w:sz w:val="23"/>
                <w:szCs w:val="23"/>
                <w:lang w:val="lt-LT"/>
              </w:rPr>
              <w:t>svarbiausius</w:t>
            </w:r>
            <w:r w:rsidR="008250AA" w:rsidRPr="00B231EC">
              <w:rPr>
                <w:rFonts w:asciiTheme="majorHAnsi" w:hAnsiTheme="majorHAnsi" w:cstheme="majorHAnsi"/>
                <w:sz w:val="23"/>
                <w:szCs w:val="23"/>
                <w:lang w:val="lt-LT"/>
              </w:rPr>
              <w:t xml:space="preserve"> principus</w:t>
            </w:r>
            <w:r w:rsidR="00EB522F" w:rsidRPr="00B231EC">
              <w:rPr>
                <w:rFonts w:asciiTheme="majorHAnsi" w:hAnsiTheme="majorHAnsi" w:cstheme="majorHAnsi"/>
                <w:sz w:val="23"/>
                <w:szCs w:val="23"/>
                <w:lang w:val="lt-LT"/>
              </w:rPr>
              <w:t xml:space="preserve"> ir </w:t>
            </w:r>
            <w:r w:rsidR="00EB522F" w:rsidRPr="00B14E52">
              <w:rPr>
                <w:rFonts w:asciiTheme="majorHAnsi" w:hAnsiTheme="majorHAnsi" w:cstheme="majorHAnsi"/>
                <w:sz w:val="23"/>
                <w:szCs w:val="23"/>
                <w:lang w:val="lt-LT"/>
              </w:rPr>
              <w:t>rekomendacijas</w:t>
            </w:r>
            <w:r w:rsidR="008F2EAC" w:rsidRPr="00B14E52">
              <w:rPr>
                <w:rFonts w:asciiTheme="majorHAnsi" w:hAnsiTheme="majorHAnsi" w:cstheme="majorHAnsi"/>
                <w:sz w:val="23"/>
                <w:szCs w:val="23"/>
                <w:lang w:val="lt-LT"/>
              </w:rPr>
              <w:t xml:space="preserve">, atsižvelgiant į gerosios valdysenos </w:t>
            </w:r>
            <w:r w:rsidR="00EB522F" w:rsidRPr="00B14E52">
              <w:rPr>
                <w:rFonts w:asciiTheme="majorHAnsi" w:hAnsiTheme="majorHAnsi" w:cstheme="majorHAnsi"/>
                <w:sz w:val="23"/>
                <w:szCs w:val="23"/>
                <w:lang w:val="lt-LT"/>
              </w:rPr>
              <w:t>praktika</w:t>
            </w:r>
            <w:r w:rsidR="008F2EAC" w:rsidRPr="00B14E52">
              <w:rPr>
                <w:rFonts w:asciiTheme="majorHAnsi" w:hAnsiTheme="majorHAnsi" w:cstheme="majorHAnsi"/>
                <w:sz w:val="23"/>
                <w:szCs w:val="23"/>
                <w:lang w:val="lt-LT"/>
              </w:rPr>
              <w:t>s</w:t>
            </w:r>
            <w:r w:rsidR="00402CEE" w:rsidRPr="00B14E52">
              <w:rPr>
                <w:rFonts w:asciiTheme="majorHAnsi" w:hAnsiTheme="majorHAnsi" w:cstheme="majorHAnsi"/>
                <w:sz w:val="23"/>
                <w:szCs w:val="23"/>
                <w:lang w:val="lt-LT"/>
              </w:rPr>
              <w:t>, tam</w:t>
            </w:r>
            <w:r w:rsidR="00CB0F58" w:rsidRPr="00B14E52">
              <w:rPr>
                <w:rFonts w:asciiTheme="majorHAnsi" w:hAnsiTheme="majorHAnsi" w:cstheme="majorHAnsi"/>
                <w:sz w:val="23"/>
                <w:szCs w:val="23"/>
                <w:lang w:val="lt-LT"/>
              </w:rPr>
              <w:t>,</w:t>
            </w:r>
            <w:r w:rsidR="00402CEE" w:rsidRPr="00B14E52">
              <w:rPr>
                <w:rFonts w:asciiTheme="majorHAnsi" w:hAnsiTheme="majorHAnsi" w:cstheme="majorHAnsi"/>
                <w:sz w:val="23"/>
                <w:szCs w:val="23"/>
                <w:lang w:val="lt-LT"/>
              </w:rPr>
              <w:t xml:space="preserve"> kad aktyviai prisidėti prie akcininkų vykdomo valdybos atrankos proceso ir siekiant, kad valdybos sudėtis ir jos darbas geriausiai užtikrintų </w:t>
            </w:r>
            <w:r w:rsidR="00CB0F58" w:rsidRPr="00B14E52">
              <w:rPr>
                <w:rFonts w:asciiTheme="majorHAnsi" w:hAnsiTheme="majorHAnsi" w:cstheme="majorHAnsi"/>
                <w:sz w:val="23"/>
                <w:szCs w:val="23"/>
                <w:lang w:val="lt-LT"/>
              </w:rPr>
              <w:t>B</w:t>
            </w:r>
            <w:r w:rsidR="00402CEE" w:rsidRPr="00B14E52">
              <w:rPr>
                <w:rFonts w:asciiTheme="majorHAnsi" w:hAnsiTheme="majorHAnsi" w:cstheme="majorHAnsi"/>
                <w:sz w:val="23"/>
                <w:szCs w:val="23"/>
                <w:lang w:val="lt-LT"/>
              </w:rPr>
              <w:t>endrovei keliamų tikslų įgyvendinimą.</w:t>
            </w:r>
          </w:p>
        </w:tc>
      </w:tr>
      <w:tr w:rsidR="00807C45" w:rsidRPr="00B14E52" w14:paraId="00D90B52" w14:textId="77777777" w:rsidTr="00217A98">
        <w:tc>
          <w:tcPr>
            <w:tcW w:w="1986" w:type="dxa"/>
            <w:shd w:val="clear" w:color="auto" w:fill="auto"/>
          </w:tcPr>
          <w:p w14:paraId="33C698B2" w14:textId="77777777" w:rsidR="00905004" w:rsidRPr="00B14E52" w:rsidRDefault="00905004" w:rsidP="00B231EC">
            <w:pPr>
              <w:suppressAutoHyphens/>
              <w:spacing w:after="0"/>
              <w:ind w:right="141"/>
              <w:rPr>
                <w:rFonts w:asciiTheme="majorHAnsi" w:hAnsiTheme="majorHAnsi" w:cstheme="majorHAnsi"/>
                <w:b/>
                <w:bCs/>
                <w:color w:val="000000"/>
                <w:sz w:val="23"/>
                <w:szCs w:val="23"/>
                <w:lang w:val="lt-LT"/>
              </w:rPr>
            </w:pPr>
            <w:r w:rsidRPr="00B14E52">
              <w:rPr>
                <w:rFonts w:asciiTheme="majorHAnsi" w:hAnsiTheme="majorHAnsi" w:cstheme="majorHAnsi"/>
                <w:b/>
                <w:bCs/>
                <w:color w:val="000000"/>
                <w:sz w:val="23"/>
                <w:szCs w:val="23"/>
                <w:lang w:val="lt-LT"/>
              </w:rPr>
              <w:t>Taikymo sritis</w:t>
            </w:r>
          </w:p>
        </w:tc>
        <w:tc>
          <w:tcPr>
            <w:tcW w:w="9072" w:type="dxa"/>
            <w:shd w:val="clear" w:color="auto" w:fill="auto"/>
          </w:tcPr>
          <w:p w14:paraId="64DCACAB" w14:textId="557E4B74" w:rsidR="00905004" w:rsidRPr="00B14E52" w:rsidRDefault="002E56A3" w:rsidP="00B231EC">
            <w:pPr>
              <w:suppressAutoHyphens/>
              <w:spacing w:after="0"/>
              <w:ind w:right="141"/>
              <w:jc w:val="both"/>
              <w:rPr>
                <w:rFonts w:asciiTheme="majorHAnsi" w:hAnsiTheme="majorHAnsi" w:cstheme="majorHAnsi"/>
                <w:color w:val="000000"/>
                <w:sz w:val="23"/>
                <w:szCs w:val="23"/>
                <w:lang w:val="lt-LT"/>
              </w:rPr>
            </w:pPr>
            <w:r w:rsidRPr="00B14E52">
              <w:rPr>
                <w:rFonts w:asciiTheme="majorHAnsi" w:hAnsiTheme="majorHAnsi" w:cstheme="majorHAnsi"/>
                <w:color w:val="000000"/>
                <w:sz w:val="23"/>
                <w:szCs w:val="23"/>
                <w:lang w:val="lt-LT"/>
              </w:rPr>
              <w:t>UAB „Vilniaus vandenys“ valdyba</w:t>
            </w:r>
            <w:r w:rsidR="00651F72" w:rsidRPr="00B14E52">
              <w:rPr>
                <w:rFonts w:asciiTheme="majorHAnsi" w:hAnsiTheme="majorHAnsi" w:cstheme="majorHAnsi"/>
                <w:color w:val="000000"/>
                <w:sz w:val="23"/>
                <w:szCs w:val="23"/>
                <w:lang w:val="lt-LT"/>
              </w:rPr>
              <w:t>, Bendrovė</w:t>
            </w:r>
          </w:p>
        </w:tc>
      </w:tr>
      <w:tr w:rsidR="00B23B7E" w:rsidRPr="00B14E52" w14:paraId="1C5E147C" w14:textId="77777777" w:rsidTr="00653BC8">
        <w:trPr>
          <w:trHeight w:val="110"/>
        </w:trPr>
        <w:tc>
          <w:tcPr>
            <w:tcW w:w="1986" w:type="dxa"/>
            <w:shd w:val="clear" w:color="auto" w:fill="auto"/>
          </w:tcPr>
          <w:p w14:paraId="4EDCBFAC" w14:textId="6378BA4A" w:rsidR="00B23B7E" w:rsidRPr="00B14E52" w:rsidRDefault="0026403C" w:rsidP="00B231EC">
            <w:pPr>
              <w:suppressAutoHyphens/>
              <w:spacing w:after="0"/>
              <w:ind w:right="141"/>
              <w:rPr>
                <w:rFonts w:asciiTheme="majorHAnsi" w:hAnsiTheme="majorHAnsi" w:cstheme="majorHAnsi"/>
                <w:b/>
                <w:bCs/>
                <w:color w:val="000000"/>
                <w:sz w:val="23"/>
                <w:szCs w:val="23"/>
                <w:lang w:val="lt-LT"/>
              </w:rPr>
            </w:pPr>
            <w:bookmarkStart w:id="1" w:name="_Toc81223234"/>
            <w:bookmarkStart w:id="2" w:name="_Toc110837142"/>
            <w:r w:rsidRPr="00B14E52">
              <w:rPr>
                <w:rFonts w:asciiTheme="majorHAnsi" w:hAnsiTheme="majorHAnsi" w:cstheme="majorHAnsi"/>
                <w:b/>
                <w:bCs/>
                <w:color w:val="000000"/>
                <w:sz w:val="23"/>
                <w:szCs w:val="23"/>
                <w:lang w:val="lt-LT"/>
              </w:rPr>
              <w:t>Susiję teisės aktai</w:t>
            </w:r>
            <w:r w:rsidR="00B23B7E" w:rsidRPr="00B14E52">
              <w:rPr>
                <w:rFonts w:asciiTheme="majorHAnsi" w:hAnsiTheme="majorHAnsi" w:cstheme="majorHAnsi"/>
                <w:b/>
                <w:bCs/>
                <w:color w:val="000000"/>
                <w:sz w:val="23"/>
                <w:szCs w:val="23"/>
                <w:lang w:val="lt-LT"/>
              </w:rPr>
              <w:t xml:space="preserve"> </w:t>
            </w:r>
          </w:p>
        </w:tc>
        <w:tc>
          <w:tcPr>
            <w:tcW w:w="9072" w:type="dxa"/>
            <w:shd w:val="clear" w:color="auto" w:fill="auto"/>
          </w:tcPr>
          <w:p w14:paraId="2E08E100" w14:textId="77777777" w:rsidR="002E56A3" w:rsidRPr="00B14E52" w:rsidRDefault="002E56A3" w:rsidP="00B231EC">
            <w:pPr>
              <w:spacing w:after="0" w:line="240" w:lineRule="auto"/>
              <w:ind w:right="141"/>
              <w:jc w:val="both"/>
              <w:rPr>
                <w:rFonts w:asciiTheme="majorHAnsi" w:hAnsiTheme="majorHAnsi" w:cstheme="majorHAnsi"/>
                <w:sz w:val="23"/>
                <w:szCs w:val="23"/>
                <w:lang w:val="lt-LT"/>
              </w:rPr>
            </w:pPr>
            <w:r w:rsidRPr="00B14E52">
              <w:rPr>
                <w:rFonts w:asciiTheme="majorHAnsi" w:hAnsiTheme="majorHAnsi" w:cstheme="majorHAnsi"/>
                <w:sz w:val="23"/>
                <w:szCs w:val="23"/>
                <w:lang w:val="lt-LT"/>
              </w:rPr>
              <w:t>Lietuvos Respublikos akcinių bendrovių įstatymas;</w:t>
            </w:r>
          </w:p>
          <w:p w14:paraId="4D0090E7" w14:textId="77777777" w:rsidR="002E56A3" w:rsidRPr="00B14E52" w:rsidRDefault="002E56A3" w:rsidP="00B231EC">
            <w:pPr>
              <w:spacing w:after="0" w:line="240" w:lineRule="auto"/>
              <w:ind w:right="141"/>
              <w:jc w:val="both"/>
              <w:rPr>
                <w:rFonts w:asciiTheme="majorHAnsi" w:hAnsiTheme="majorHAnsi" w:cstheme="majorHAnsi"/>
                <w:sz w:val="23"/>
                <w:szCs w:val="23"/>
                <w:lang w:val="lt-LT"/>
              </w:rPr>
            </w:pPr>
            <w:r w:rsidRPr="00B14E52">
              <w:rPr>
                <w:rFonts w:asciiTheme="majorHAnsi" w:hAnsiTheme="majorHAnsi" w:cstheme="majorHAnsi"/>
                <w:sz w:val="23"/>
                <w:szCs w:val="23"/>
                <w:lang w:val="lt-LT"/>
              </w:rPr>
              <w:t>Lietuvos Respublikos valstybės ir savivaldybių turto valdymo, naudojimo ir disponavimo juo įstatymas;</w:t>
            </w:r>
          </w:p>
          <w:p w14:paraId="5849E52F" w14:textId="55FC5974" w:rsidR="002E56A3" w:rsidRPr="00B14E52" w:rsidRDefault="002E56A3" w:rsidP="00B231EC">
            <w:pPr>
              <w:spacing w:after="0" w:line="240" w:lineRule="auto"/>
              <w:ind w:right="141"/>
              <w:jc w:val="both"/>
              <w:rPr>
                <w:rFonts w:asciiTheme="majorHAnsi" w:hAnsiTheme="majorHAnsi" w:cstheme="majorHAnsi"/>
                <w:sz w:val="23"/>
                <w:szCs w:val="23"/>
                <w:lang w:val="lt-LT"/>
              </w:rPr>
            </w:pPr>
            <w:r w:rsidRPr="00B14E52">
              <w:rPr>
                <w:rFonts w:asciiTheme="majorHAnsi" w:hAnsiTheme="majorHAnsi" w:cstheme="majorHAnsi"/>
                <w:sz w:val="23"/>
                <w:szCs w:val="23"/>
                <w:lang w:val="lt-LT"/>
              </w:rPr>
              <w:t>Lietuvos Respublikos nacionaliniam saugumui užtikrinti svarbių objektų apsaugos įstatymas;</w:t>
            </w:r>
          </w:p>
          <w:p w14:paraId="6584CC46" w14:textId="6D7D4683" w:rsidR="00B23B7E" w:rsidRPr="00B14E52" w:rsidRDefault="002E56A3" w:rsidP="00B231EC">
            <w:pPr>
              <w:spacing w:after="0" w:line="240" w:lineRule="auto"/>
              <w:ind w:right="141"/>
              <w:jc w:val="both"/>
              <w:rPr>
                <w:rFonts w:asciiTheme="majorHAnsi" w:hAnsiTheme="majorHAnsi" w:cstheme="majorHAnsi"/>
                <w:sz w:val="23"/>
                <w:szCs w:val="23"/>
                <w:lang w:val="lt-LT"/>
              </w:rPr>
            </w:pPr>
            <w:r w:rsidRPr="00B14E52">
              <w:rPr>
                <w:rFonts w:asciiTheme="majorHAnsi" w:hAnsiTheme="majorHAnsi" w:cstheme="majorHAnsi"/>
                <w:sz w:val="23"/>
                <w:szCs w:val="23"/>
                <w:lang w:val="lt-LT"/>
              </w:rPr>
              <w:t>Lietuvos Respublikos Vyriausybės 2015 m. birželio 17 d. nutarimu Nr. 631 patvirtintas Kandidatų į valstybės ar savivaldybės įmonės, valstybės ar savivaldybės valdomos bendrovės ar jos dukterinės bendrovės kolegialų priežiūros ar valdymo organą atrankos aprašas</w:t>
            </w:r>
            <w:r w:rsidR="000C4047" w:rsidRPr="00B14E52">
              <w:rPr>
                <w:rFonts w:asciiTheme="majorHAnsi" w:hAnsiTheme="majorHAnsi" w:cstheme="majorHAnsi"/>
                <w:sz w:val="23"/>
                <w:szCs w:val="23"/>
                <w:lang w:val="lt-LT"/>
              </w:rPr>
              <w:t>;</w:t>
            </w:r>
          </w:p>
          <w:p w14:paraId="6B5DE0BB" w14:textId="69219341" w:rsidR="000C4047" w:rsidRDefault="000C4047" w:rsidP="00B231EC">
            <w:pPr>
              <w:spacing w:after="0" w:line="240" w:lineRule="auto"/>
              <w:ind w:right="141"/>
              <w:jc w:val="both"/>
              <w:rPr>
                <w:rFonts w:asciiTheme="majorHAnsi" w:hAnsiTheme="majorHAnsi" w:cstheme="majorHAnsi"/>
                <w:sz w:val="23"/>
                <w:szCs w:val="23"/>
                <w:lang w:val="lt-LT"/>
              </w:rPr>
            </w:pPr>
            <w:r w:rsidRPr="00B14E52">
              <w:rPr>
                <w:rFonts w:asciiTheme="majorHAnsi" w:hAnsiTheme="majorHAnsi" w:cstheme="majorHAnsi"/>
                <w:sz w:val="23"/>
                <w:szCs w:val="23"/>
                <w:lang w:val="lt-LT"/>
              </w:rPr>
              <w:t>VšĮ „Valdymo koordinavimo centras“ Kolegialių organų atrankos vykdymo gairės</w:t>
            </w:r>
            <w:r w:rsidR="00E464D7" w:rsidRPr="00B14E52">
              <w:rPr>
                <w:rFonts w:asciiTheme="majorHAnsi" w:hAnsiTheme="majorHAnsi" w:cstheme="majorHAnsi"/>
                <w:sz w:val="23"/>
                <w:szCs w:val="23"/>
                <w:lang w:val="lt-LT"/>
              </w:rPr>
              <w:t xml:space="preserve">: </w:t>
            </w:r>
            <w:hyperlink r:id="rId11" w:history="1">
              <w:r w:rsidR="00E464D7" w:rsidRPr="00B14E52">
                <w:rPr>
                  <w:rStyle w:val="Hyperlink"/>
                  <w:rFonts w:asciiTheme="majorHAnsi" w:hAnsiTheme="majorHAnsi" w:cstheme="majorHAnsi"/>
                  <w:sz w:val="23"/>
                  <w:szCs w:val="23"/>
                  <w:lang w:val="lt-LT"/>
                </w:rPr>
                <w:t>https://governance.lt/wp-content/uploads/2020/05/KO_atrankos_vykdymo_gaires.pdf</w:t>
              </w:r>
            </w:hyperlink>
            <w:r w:rsidR="00CD2AA1">
              <w:rPr>
                <w:rFonts w:asciiTheme="majorHAnsi" w:hAnsiTheme="majorHAnsi" w:cstheme="majorHAnsi"/>
                <w:sz w:val="23"/>
                <w:szCs w:val="23"/>
                <w:lang w:val="lt-LT"/>
              </w:rPr>
              <w:t>;</w:t>
            </w:r>
          </w:p>
          <w:p w14:paraId="05B21862" w14:textId="5AC83FBD" w:rsidR="00CD2AA1" w:rsidRPr="00B14E52" w:rsidRDefault="0066441E" w:rsidP="00B231EC">
            <w:pPr>
              <w:spacing w:after="0" w:line="240" w:lineRule="auto"/>
              <w:ind w:right="141"/>
              <w:jc w:val="both"/>
              <w:rPr>
                <w:rFonts w:asciiTheme="majorHAnsi" w:hAnsiTheme="majorHAnsi" w:cstheme="majorHAnsi"/>
                <w:sz w:val="23"/>
                <w:szCs w:val="23"/>
                <w:lang w:val="lt-LT"/>
              </w:rPr>
            </w:pPr>
            <w:hyperlink r:id="rId12" w:history="1">
              <w:r w:rsidR="00CD2AA1">
                <w:rPr>
                  <w:rStyle w:val="Hyperlink"/>
                  <w:rFonts w:asciiTheme="majorHAnsi" w:hAnsiTheme="majorHAnsi" w:cstheme="majorHAnsi"/>
                  <w:sz w:val="23"/>
                  <w:szCs w:val="23"/>
                  <w:lang w:val="lt-LT"/>
                </w:rPr>
                <w:t>UAB „Vilniaus vandenys“ v</w:t>
              </w:r>
              <w:r w:rsidR="00CD2AA1" w:rsidRPr="00F05B18">
                <w:rPr>
                  <w:rStyle w:val="Hyperlink"/>
                  <w:rFonts w:asciiTheme="majorHAnsi" w:hAnsiTheme="majorHAnsi" w:cstheme="majorHAnsi"/>
                  <w:sz w:val="23"/>
                  <w:szCs w:val="23"/>
                  <w:lang w:val="lt-LT"/>
                </w:rPr>
                <w:t>aldybos savo veiklos vertinimo gairės</w:t>
              </w:r>
            </w:hyperlink>
          </w:p>
        </w:tc>
      </w:tr>
      <w:bookmarkEnd w:id="1"/>
      <w:bookmarkEnd w:id="2"/>
    </w:tbl>
    <w:p w14:paraId="191CCFB6" w14:textId="77777777" w:rsidR="00653BC8" w:rsidRPr="00B14E52" w:rsidRDefault="00653BC8" w:rsidP="00C72786">
      <w:pPr>
        <w:pStyle w:val="Heading1"/>
        <w:tabs>
          <w:tab w:val="left" w:pos="567"/>
        </w:tabs>
        <w:spacing w:before="0"/>
        <w:ind w:left="0" w:right="141"/>
        <w:rPr>
          <w:rFonts w:asciiTheme="majorHAnsi" w:hAnsiTheme="majorHAnsi" w:cstheme="majorHAnsi"/>
          <w:sz w:val="23"/>
          <w:szCs w:val="23"/>
        </w:rPr>
      </w:pPr>
    </w:p>
    <w:p w14:paraId="7D9B6485" w14:textId="122A8670" w:rsidR="00653BC8" w:rsidRDefault="00653BC8">
      <w:pPr>
        <w:pStyle w:val="Heading1"/>
        <w:tabs>
          <w:tab w:val="left" w:pos="567"/>
        </w:tabs>
        <w:spacing w:before="0"/>
        <w:ind w:left="0" w:right="141"/>
        <w:rPr>
          <w:rFonts w:asciiTheme="majorHAnsi" w:hAnsiTheme="majorHAnsi" w:cstheme="majorHAnsi"/>
          <w:sz w:val="23"/>
          <w:szCs w:val="23"/>
        </w:rPr>
      </w:pPr>
      <w:r w:rsidRPr="00B14E52">
        <w:rPr>
          <w:rFonts w:asciiTheme="majorHAnsi" w:hAnsiTheme="majorHAnsi" w:cstheme="majorHAnsi"/>
          <w:sz w:val="23"/>
          <w:szCs w:val="23"/>
        </w:rPr>
        <w:t>Turinys</w:t>
      </w:r>
    </w:p>
    <w:p w14:paraId="4D6C4C69" w14:textId="77777777" w:rsidR="00653BC8" w:rsidRPr="00B14E52" w:rsidRDefault="00653BC8" w:rsidP="00B231EC">
      <w:pPr>
        <w:pStyle w:val="ListParagraph"/>
        <w:numPr>
          <w:ilvl w:val="3"/>
          <w:numId w:val="16"/>
        </w:numPr>
        <w:tabs>
          <w:tab w:val="left" w:pos="1134"/>
        </w:tabs>
        <w:ind w:left="596" w:right="141" w:hanging="596"/>
        <w:jc w:val="both"/>
        <w:rPr>
          <w:rFonts w:asciiTheme="majorHAnsi" w:hAnsiTheme="majorHAnsi" w:cstheme="majorHAnsi"/>
          <w:sz w:val="23"/>
          <w:szCs w:val="23"/>
        </w:rPr>
      </w:pPr>
      <w:r w:rsidRPr="00B14E52">
        <w:rPr>
          <w:rFonts w:asciiTheme="majorHAnsi" w:hAnsiTheme="majorHAnsi" w:cstheme="majorHAnsi"/>
          <w:sz w:val="23"/>
          <w:szCs w:val="23"/>
        </w:rPr>
        <w:t>SPECIALIOSIOS SĄVOKOS IR SUTRUMPINIMAI</w:t>
      </w:r>
    </w:p>
    <w:p w14:paraId="4EBC28FE" w14:textId="410736DF" w:rsidR="00653BC8" w:rsidRPr="00B14E52" w:rsidRDefault="002E56A3" w:rsidP="00B231EC">
      <w:pPr>
        <w:pStyle w:val="ListParagraph"/>
        <w:numPr>
          <w:ilvl w:val="3"/>
          <w:numId w:val="16"/>
        </w:numPr>
        <w:tabs>
          <w:tab w:val="left" w:pos="1134"/>
        </w:tabs>
        <w:ind w:left="596" w:right="141" w:hanging="596"/>
        <w:jc w:val="both"/>
        <w:rPr>
          <w:rFonts w:asciiTheme="majorHAnsi" w:hAnsiTheme="majorHAnsi" w:cstheme="majorHAnsi"/>
          <w:sz w:val="23"/>
          <w:szCs w:val="23"/>
        </w:rPr>
      </w:pPr>
      <w:r w:rsidRPr="00B14E52">
        <w:rPr>
          <w:rFonts w:asciiTheme="majorHAnsi" w:hAnsiTheme="majorHAnsi" w:cstheme="majorHAnsi"/>
          <w:sz w:val="23"/>
          <w:szCs w:val="23"/>
        </w:rPr>
        <w:t>PAGRINDINĖS NUOSTATOS</w:t>
      </w:r>
    </w:p>
    <w:p w14:paraId="237D71BD" w14:textId="076E7731" w:rsidR="00653BC8" w:rsidRPr="00283E1B" w:rsidRDefault="008C6059" w:rsidP="00B231EC">
      <w:pPr>
        <w:pStyle w:val="ListParagraph"/>
        <w:numPr>
          <w:ilvl w:val="3"/>
          <w:numId w:val="16"/>
        </w:numPr>
        <w:tabs>
          <w:tab w:val="left" w:pos="1134"/>
        </w:tabs>
        <w:ind w:left="596" w:right="141" w:hanging="596"/>
        <w:jc w:val="both"/>
        <w:rPr>
          <w:rFonts w:asciiTheme="majorHAnsi" w:hAnsiTheme="majorHAnsi" w:cstheme="majorHAnsi"/>
          <w:sz w:val="23"/>
          <w:szCs w:val="23"/>
        </w:rPr>
      </w:pPr>
      <w:r w:rsidRPr="00283E1B">
        <w:rPr>
          <w:rFonts w:asciiTheme="majorHAnsi" w:hAnsiTheme="majorHAnsi" w:cstheme="majorHAnsi"/>
          <w:sz w:val="23"/>
          <w:szCs w:val="23"/>
        </w:rPr>
        <w:t xml:space="preserve">VALDYBOS </w:t>
      </w:r>
      <w:r w:rsidR="00050FBB">
        <w:rPr>
          <w:rFonts w:asciiTheme="majorHAnsi" w:hAnsiTheme="majorHAnsi" w:cstheme="majorHAnsi"/>
          <w:sz w:val="23"/>
          <w:szCs w:val="23"/>
        </w:rPr>
        <w:t>FORMAVIMO</w:t>
      </w:r>
      <w:r w:rsidR="0049184D" w:rsidRPr="00283E1B">
        <w:rPr>
          <w:rFonts w:asciiTheme="majorHAnsi" w:hAnsiTheme="majorHAnsi" w:cstheme="majorHAnsi"/>
          <w:sz w:val="23"/>
          <w:szCs w:val="23"/>
        </w:rPr>
        <w:t xml:space="preserve"> PRINCIPAI IR REKOMENDACIJOS</w:t>
      </w:r>
    </w:p>
    <w:p w14:paraId="383469D6" w14:textId="039AE0C1" w:rsidR="00CD2AA1" w:rsidRPr="00B231EC" w:rsidRDefault="00CD2AA1" w:rsidP="00B231EC">
      <w:pPr>
        <w:pStyle w:val="ListParagraph"/>
        <w:numPr>
          <w:ilvl w:val="3"/>
          <w:numId w:val="16"/>
        </w:numPr>
        <w:tabs>
          <w:tab w:val="left" w:pos="1134"/>
        </w:tabs>
        <w:ind w:left="596" w:right="141" w:hanging="596"/>
        <w:jc w:val="both"/>
        <w:rPr>
          <w:rFonts w:asciiTheme="majorHAnsi" w:hAnsiTheme="majorHAnsi" w:cstheme="majorHAnsi"/>
          <w:bCs/>
          <w:sz w:val="23"/>
          <w:szCs w:val="23"/>
        </w:rPr>
      </w:pPr>
      <w:r w:rsidRPr="00B231EC">
        <w:rPr>
          <w:rFonts w:asciiTheme="majorHAnsi" w:hAnsiTheme="majorHAnsi" w:cstheme="majorHAnsi"/>
          <w:bCs/>
          <w:sz w:val="23"/>
          <w:szCs w:val="23"/>
        </w:rPr>
        <w:t xml:space="preserve">BENDROVĖS IR VALDYBOS ĮSITRAUKIMAS VALDYBOS </w:t>
      </w:r>
      <w:r w:rsidR="00986FFB">
        <w:rPr>
          <w:rFonts w:asciiTheme="majorHAnsi" w:hAnsiTheme="majorHAnsi" w:cstheme="majorHAnsi"/>
          <w:bCs/>
          <w:sz w:val="23"/>
          <w:szCs w:val="23"/>
        </w:rPr>
        <w:t>FORMAVIMO</w:t>
      </w:r>
      <w:r w:rsidRPr="00B231EC">
        <w:rPr>
          <w:rFonts w:asciiTheme="majorHAnsi" w:hAnsiTheme="majorHAnsi" w:cstheme="majorHAnsi"/>
          <w:bCs/>
          <w:sz w:val="23"/>
          <w:szCs w:val="23"/>
        </w:rPr>
        <w:t xml:space="preserve"> PROCESE </w:t>
      </w:r>
    </w:p>
    <w:p w14:paraId="5DD57D30" w14:textId="4E7C5281" w:rsidR="00653BC8" w:rsidRDefault="00653BC8" w:rsidP="00B231EC">
      <w:pPr>
        <w:pStyle w:val="ListParagraph"/>
        <w:numPr>
          <w:ilvl w:val="3"/>
          <w:numId w:val="16"/>
        </w:numPr>
        <w:tabs>
          <w:tab w:val="left" w:pos="1134"/>
        </w:tabs>
        <w:ind w:left="596" w:right="141" w:hanging="596"/>
        <w:jc w:val="both"/>
        <w:rPr>
          <w:rFonts w:asciiTheme="majorHAnsi" w:hAnsiTheme="majorHAnsi" w:cstheme="majorHAnsi"/>
          <w:sz w:val="23"/>
          <w:szCs w:val="23"/>
        </w:rPr>
      </w:pPr>
      <w:r w:rsidRPr="00283E1B">
        <w:rPr>
          <w:rFonts w:asciiTheme="majorHAnsi" w:hAnsiTheme="majorHAnsi" w:cstheme="majorHAnsi"/>
          <w:sz w:val="23"/>
          <w:szCs w:val="23"/>
        </w:rPr>
        <w:t>BAIGIAMOSIOS</w:t>
      </w:r>
      <w:r w:rsidRPr="00B14E52">
        <w:rPr>
          <w:rFonts w:asciiTheme="majorHAnsi" w:hAnsiTheme="majorHAnsi" w:cstheme="majorHAnsi"/>
          <w:sz w:val="23"/>
          <w:szCs w:val="23"/>
        </w:rPr>
        <w:t xml:space="preserve"> NUOSTATOS</w:t>
      </w:r>
    </w:p>
    <w:p w14:paraId="1276000C" w14:textId="2F5D52A3" w:rsidR="00E836AF" w:rsidRPr="00B14E52" w:rsidRDefault="00E836AF" w:rsidP="00B231EC">
      <w:pPr>
        <w:pStyle w:val="ListParagraph"/>
        <w:numPr>
          <w:ilvl w:val="3"/>
          <w:numId w:val="16"/>
        </w:numPr>
        <w:tabs>
          <w:tab w:val="left" w:pos="1134"/>
        </w:tabs>
        <w:ind w:left="596" w:right="141" w:hanging="596"/>
        <w:jc w:val="both"/>
        <w:rPr>
          <w:rFonts w:asciiTheme="majorHAnsi" w:hAnsiTheme="majorHAnsi" w:cstheme="majorHAnsi"/>
          <w:sz w:val="23"/>
          <w:szCs w:val="23"/>
        </w:rPr>
      </w:pPr>
      <w:r>
        <w:rPr>
          <w:rFonts w:asciiTheme="majorHAnsi" w:hAnsiTheme="majorHAnsi" w:cstheme="majorHAnsi"/>
          <w:sz w:val="23"/>
          <w:szCs w:val="23"/>
        </w:rPr>
        <w:t>PRIEDAI</w:t>
      </w:r>
    </w:p>
    <w:p w14:paraId="62308D27" w14:textId="15237B72" w:rsidR="00653BC8" w:rsidRPr="00B14E52" w:rsidRDefault="00653BC8" w:rsidP="00B231EC">
      <w:pPr>
        <w:pStyle w:val="ListParagraph"/>
        <w:tabs>
          <w:tab w:val="left" w:pos="1134"/>
        </w:tabs>
        <w:ind w:left="596" w:right="141"/>
        <w:jc w:val="both"/>
        <w:rPr>
          <w:rFonts w:asciiTheme="majorHAnsi" w:hAnsiTheme="majorHAnsi" w:cstheme="majorHAnsi"/>
          <w:sz w:val="23"/>
          <w:szCs w:val="23"/>
          <w:highlight w:val="yellow"/>
        </w:rPr>
      </w:pPr>
    </w:p>
    <w:tbl>
      <w:tblPr>
        <w:tblW w:w="1089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686"/>
        <w:gridCol w:w="7195"/>
        <w:gridCol w:w="11"/>
      </w:tblGrid>
      <w:tr w:rsidR="00653BC8" w:rsidRPr="00B14E52" w14:paraId="23D93358" w14:textId="77777777" w:rsidTr="00442A02">
        <w:tc>
          <w:tcPr>
            <w:tcW w:w="10892" w:type="dxa"/>
            <w:gridSpan w:val="3"/>
            <w:shd w:val="clear" w:color="auto" w:fill="auto"/>
          </w:tcPr>
          <w:p w14:paraId="1C20B4EC" w14:textId="77777777" w:rsidR="00653BC8" w:rsidRPr="00B14E52" w:rsidRDefault="00653BC8" w:rsidP="00B231EC">
            <w:pPr>
              <w:pStyle w:val="ListParagraph"/>
              <w:suppressAutoHyphens/>
              <w:ind w:left="315" w:right="141"/>
              <w:jc w:val="both"/>
              <w:rPr>
                <w:rFonts w:asciiTheme="majorHAnsi" w:hAnsiTheme="majorHAnsi" w:cstheme="majorHAnsi"/>
                <w:b/>
                <w:color w:val="000000"/>
                <w:sz w:val="23"/>
                <w:szCs w:val="23"/>
              </w:rPr>
            </w:pPr>
            <w:bookmarkStart w:id="3" w:name="_Toc81223235"/>
            <w:bookmarkStart w:id="4" w:name="_Toc110837143"/>
            <w:bookmarkStart w:id="5" w:name="_Toc459964647"/>
          </w:p>
          <w:p w14:paraId="2DC96FF7" w14:textId="39CFF4F6" w:rsidR="00653BC8" w:rsidRPr="00B14E52" w:rsidRDefault="00653BC8" w:rsidP="00B231EC">
            <w:pPr>
              <w:pStyle w:val="ListParagraph"/>
              <w:numPr>
                <w:ilvl w:val="0"/>
                <w:numId w:val="18"/>
              </w:numPr>
              <w:tabs>
                <w:tab w:val="left" w:pos="1134"/>
              </w:tabs>
              <w:ind w:left="567" w:right="141" w:hanging="567"/>
              <w:jc w:val="both"/>
              <w:rPr>
                <w:rFonts w:asciiTheme="majorHAnsi" w:hAnsiTheme="majorHAnsi" w:cstheme="majorHAnsi"/>
                <w:b/>
                <w:color w:val="000000"/>
                <w:sz w:val="23"/>
                <w:szCs w:val="23"/>
              </w:rPr>
            </w:pPr>
            <w:r w:rsidRPr="00B14E52">
              <w:rPr>
                <w:rFonts w:asciiTheme="majorHAnsi" w:hAnsiTheme="majorHAnsi" w:cstheme="majorHAnsi"/>
                <w:b/>
                <w:sz w:val="23"/>
                <w:szCs w:val="23"/>
              </w:rPr>
              <w:t>SPECIALIOSIOS SĄVOKOS IR SUTRUMPINIMAI</w:t>
            </w:r>
            <w:bookmarkEnd w:id="3"/>
            <w:bookmarkEnd w:id="4"/>
            <w:bookmarkEnd w:id="5"/>
          </w:p>
        </w:tc>
      </w:tr>
      <w:tr w:rsidR="00653BC8" w:rsidRPr="00B14E52" w14:paraId="11BAD5F5" w14:textId="77777777" w:rsidTr="00B231EC">
        <w:trPr>
          <w:gridAfter w:val="1"/>
          <w:wAfter w:w="11" w:type="dxa"/>
        </w:trPr>
        <w:tc>
          <w:tcPr>
            <w:tcW w:w="3686" w:type="dxa"/>
            <w:shd w:val="clear" w:color="auto" w:fill="auto"/>
          </w:tcPr>
          <w:p w14:paraId="5E937DED" w14:textId="2AA467D1" w:rsidR="00653BC8" w:rsidRPr="00B14E52" w:rsidRDefault="002E56A3" w:rsidP="00B231EC">
            <w:pPr>
              <w:pStyle w:val="ListParagraph"/>
              <w:suppressAutoHyphens/>
              <w:ind w:left="33" w:right="141"/>
              <w:jc w:val="both"/>
              <w:rPr>
                <w:rFonts w:asciiTheme="majorHAnsi" w:hAnsiTheme="majorHAnsi" w:cstheme="majorHAnsi"/>
                <w:b/>
                <w:color w:val="000000"/>
                <w:sz w:val="23"/>
                <w:szCs w:val="23"/>
              </w:rPr>
            </w:pPr>
            <w:r w:rsidRPr="00B14E52">
              <w:rPr>
                <w:rFonts w:asciiTheme="majorHAnsi" w:hAnsiTheme="majorHAnsi" w:cstheme="majorHAnsi"/>
                <w:b/>
                <w:color w:val="000000"/>
                <w:sz w:val="23"/>
                <w:szCs w:val="23"/>
              </w:rPr>
              <w:t>Aprašas</w:t>
            </w:r>
            <w:r w:rsidR="00842570" w:rsidRPr="00B14E52">
              <w:rPr>
                <w:rFonts w:asciiTheme="majorHAnsi" w:hAnsiTheme="majorHAnsi" w:cstheme="majorHAnsi"/>
                <w:b/>
                <w:color w:val="000000"/>
                <w:sz w:val="23"/>
                <w:szCs w:val="23"/>
              </w:rPr>
              <w:t xml:space="preserve"> arba Atrankos aprašas</w:t>
            </w:r>
          </w:p>
        </w:tc>
        <w:tc>
          <w:tcPr>
            <w:tcW w:w="7195" w:type="dxa"/>
            <w:shd w:val="clear" w:color="auto" w:fill="auto"/>
          </w:tcPr>
          <w:p w14:paraId="5B52C776" w14:textId="14F857E0" w:rsidR="00653BC8" w:rsidRPr="00B14E52" w:rsidRDefault="002E56A3" w:rsidP="00B231EC">
            <w:pPr>
              <w:pStyle w:val="ListParagraph"/>
              <w:suppressAutoHyphens/>
              <w:ind w:left="214" w:right="141"/>
              <w:jc w:val="both"/>
              <w:rPr>
                <w:rFonts w:asciiTheme="majorHAnsi" w:hAnsiTheme="majorHAnsi" w:cstheme="majorHAnsi"/>
                <w:color w:val="000000"/>
                <w:sz w:val="23"/>
                <w:szCs w:val="23"/>
              </w:rPr>
            </w:pPr>
            <w:r w:rsidRPr="00B14E52">
              <w:rPr>
                <w:rFonts w:asciiTheme="majorHAnsi" w:hAnsiTheme="majorHAnsi" w:cstheme="majorHAnsi"/>
                <w:sz w:val="23"/>
                <w:szCs w:val="23"/>
              </w:rPr>
              <w:t>Lietuvos Respublikos Vyriausybės 2015 m. birželio 17 d. nutarimu Nr. 631 patvirtintas Kandidatų į valstybės ar savivaldybės įmonės, valstybės ar savivaldybės valdomos bendrovės ar jos dukterinės bendrovės kolegialų priežiūros ar valdymo organą atrankos aprašas</w:t>
            </w:r>
          </w:p>
        </w:tc>
      </w:tr>
      <w:tr w:rsidR="002F0662" w:rsidRPr="00B14E52" w14:paraId="6D752EE3" w14:textId="77777777" w:rsidTr="00B231EC">
        <w:trPr>
          <w:gridAfter w:val="1"/>
          <w:wAfter w:w="11" w:type="dxa"/>
        </w:trPr>
        <w:tc>
          <w:tcPr>
            <w:tcW w:w="3686" w:type="dxa"/>
            <w:shd w:val="clear" w:color="auto" w:fill="auto"/>
          </w:tcPr>
          <w:p w14:paraId="6E226DD8" w14:textId="149B318A" w:rsidR="002F0662" w:rsidRPr="00B14E52" w:rsidRDefault="002F0662" w:rsidP="00B231EC">
            <w:pPr>
              <w:pStyle w:val="ListParagraph"/>
              <w:suppressAutoHyphens/>
              <w:ind w:left="33" w:right="141"/>
              <w:jc w:val="both"/>
              <w:rPr>
                <w:rFonts w:asciiTheme="majorHAnsi" w:hAnsiTheme="majorHAnsi" w:cstheme="majorHAnsi"/>
                <w:b/>
                <w:color w:val="000000"/>
                <w:sz w:val="23"/>
                <w:szCs w:val="23"/>
              </w:rPr>
            </w:pPr>
            <w:r w:rsidRPr="00B14E52">
              <w:rPr>
                <w:rFonts w:asciiTheme="majorHAnsi" w:hAnsiTheme="majorHAnsi" w:cstheme="majorHAnsi"/>
                <w:b/>
                <w:color w:val="000000"/>
                <w:sz w:val="23"/>
                <w:szCs w:val="23"/>
              </w:rPr>
              <w:t>Atranką inicijuojantis subjektas</w:t>
            </w:r>
          </w:p>
        </w:tc>
        <w:tc>
          <w:tcPr>
            <w:tcW w:w="7195" w:type="dxa"/>
            <w:shd w:val="clear" w:color="auto" w:fill="auto"/>
          </w:tcPr>
          <w:p w14:paraId="39DCFA25" w14:textId="1656453B" w:rsidR="002F0662" w:rsidRPr="00B14E52" w:rsidRDefault="00097624" w:rsidP="00B231EC">
            <w:pPr>
              <w:pStyle w:val="ListParagraph"/>
              <w:suppressAutoHyphens/>
              <w:ind w:left="214" w:right="141"/>
              <w:jc w:val="both"/>
              <w:rPr>
                <w:rFonts w:asciiTheme="majorHAnsi" w:hAnsiTheme="majorHAnsi" w:cstheme="majorHAnsi"/>
                <w:sz w:val="23"/>
                <w:szCs w:val="23"/>
              </w:rPr>
            </w:pPr>
            <w:r w:rsidRPr="00B14E52">
              <w:rPr>
                <w:rFonts w:asciiTheme="majorHAnsi" w:hAnsiTheme="majorHAnsi" w:cstheme="majorHAnsi"/>
                <w:sz w:val="23"/>
                <w:szCs w:val="23"/>
              </w:rPr>
              <w:t>Savivaldyb</w:t>
            </w:r>
            <w:r w:rsidR="00C24A4A" w:rsidRPr="00B14E52">
              <w:rPr>
                <w:rFonts w:asciiTheme="majorHAnsi" w:hAnsiTheme="majorHAnsi" w:cstheme="majorHAnsi"/>
                <w:sz w:val="23"/>
                <w:szCs w:val="23"/>
              </w:rPr>
              <w:t>ės</w:t>
            </w:r>
            <w:r w:rsidR="00BF4827" w:rsidRPr="00B14E52">
              <w:rPr>
                <w:rFonts w:asciiTheme="majorHAnsi" w:hAnsiTheme="majorHAnsi" w:cstheme="majorHAnsi"/>
                <w:sz w:val="23"/>
                <w:szCs w:val="23"/>
              </w:rPr>
              <w:t xml:space="preserve"> (-</w:t>
            </w:r>
            <w:proofErr w:type="spellStart"/>
            <w:r w:rsidR="00BF4827" w:rsidRPr="00B14E52">
              <w:rPr>
                <w:rFonts w:asciiTheme="majorHAnsi" w:hAnsiTheme="majorHAnsi" w:cstheme="majorHAnsi"/>
                <w:sz w:val="23"/>
                <w:szCs w:val="23"/>
              </w:rPr>
              <w:t>ių</w:t>
            </w:r>
            <w:proofErr w:type="spellEnd"/>
            <w:r w:rsidR="00BF4827" w:rsidRPr="00B14E52">
              <w:rPr>
                <w:rFonts w:asciiTheme="majorHAnsi" w:hAnsiTheme="majorHAnsi" w:cstheme="majorHAnsi"/>
                <w:sz w:val="23"/>
                <w:szCs w:val="23"/>
              </w:rPr>
              <w:t>)</w:t>
            </w:r>
            <w:r w:rsidR="00C24A4A" w:rsidRPr="00B14E52">
              <w:rPr>
                <w:rFonts w:asciiTheme="majorHAnsi" w:hAnsiTheme="majorHAnsi" w:cstheme="majorHAnsi"/>
                <w:sz w:val="23"/>
                <w:szCs w:val="23"/>
              </w:rPr>
              <w:t xml:space="preserve"> vykdomoji institucija</w:t>
            </w:r>
          </w:p>
        </w:tc>
      </w:tr>
      <w:tr w:rsidR="007557A4" w:rsidRPr="00B14E52" w14:paraId="6C61A44F" w14:textId="77777777" w:rsidTr="00B231EC">
        <w:trPr>
          <w:gridAfter w:val="1"/>
          <w:wAfter w:w="11" w:type="dxa"/>
        </w:trPr>
        <w:tc>
          <w:tcPr>
            <w:tcW w:w="3686" w:type="dxa"/>
            <w:shd w:val="clear" w:color="auto" w:fill="auto"/>
          </w:tcPr>
          <w:p w14:paraId="615670A8" w14:textId="05D5CAB0" w:rsidR="007557A4" w:rsidRPr="00B14E52" w:rsidRDefault="007557A4" w:rsidP="00B231EC">
            <w:pPr>
              <w:pStyle w:val="ListParagraph"/>
              <w:suppressAutoHyphens/>
              <w:ind w:left="33" w:right="141"/>
              <w:jc w:val="both"/>
              <w:rPr>
                <w:rFonts w:asciiTheme="majorHAnsi" w:hAnsiTheme="majorHAnsi" w:cstheme="majorHAnsi"/>
                <w:b/>
                <w:sz w:val="23"/>
                <w:szCs w:val="23"/>
              </w:rPr>
            </w:pPr>
            <w:r w:rsidRPr="00B14E52">
              <w:rPr>
                <w:rFonts w:asciiTheme="majorHAnsi" w:hAnsiTheme="majorHAnsi" w:cstheme="majorHAnsi"/>
                <w:b/>
                <w:sz w:val="23"/>
                <w:szCs w:val="23"/>
              </w:rPr>
              <w:t>Atrankos komisija</w:t>
            </w:r>
            <w:r w:rsidR="00437B7E" w:rsidRPr="00B14E52">
              <w:rPr>
                <w:rFonts w:asciiTheme="majorHAnsi" w:hAnsiTheme="majorHAnsi" w:cstheme="majorHAnsi"/>
                <w:b/>
                <w:sz w:val="23"/>
                <w:szCs w:val="23"/>
              </w:rPr>
              <w:t xml:space="preserve"> arba Komisija</w:t>
            </w:r>
          </w:p>
        </w:tc>
        <w:tc>
          <w:tcPr>
            <w:tcW w:w="7195" w:type="dxa"/>
            <w:shd w:val="clear" w:color="auto" w:fill="auto"/>
          </w:tcPr>
          <w:p w14:paraId="4C2CC3D5" w14:textId="0494521F" w:rsidR="007557A4" w:rsidRPr="00B14E52" w:rsidRDefault="007557A4" w:rsidP="00B231EC">
            <w:pPr>
              <w:pStyle w:val="ListParagraph"/>
              <w:suppressAutoHyphens/>
              <w:ind w:left="214" w:right="141"/>
              <w:jc w:val="both"/>
              <w:rPr>
                <w:rFonts w:asciiTheme="majorHAnsi" w:hAnsiTheme="majorHAnsi" w:cstheme="majorHAnsi"/>
                <w:sz w:val="23"/>
                <w:szCs w:val="23"/>
              </w:rPr>
            </w:pPr>
            <w:r w:rsidRPr="00B14E52">
              <w:rPr>
                <w:rFonts w:asciiTheme="majorHAnsi" w:hAnsiTheme="majorHAnsi" w:cstheme="majorHAnsi"/>
                <w:sz w:val="23"/>
                <w:szCs w:val="23"/>
              </w:rPr>
              <w:t>Atrankai atlikti sudaryta komisija, kuri įvertina atrankos agentūros pateiktus kandidatus ir teikia atranką inicijuojančiam subjektui informaciją apie atrinktus kandidatus</w:t>
            </w:r>
          </w:p>
        </w:tc>
      </w:tr>
      <w:tr w:rsidR="000F4692" w:rsidRPr="00B14E52" w14:paraId="66C520A4" w14:textId="77777777" w:rsidTr="00B231EC">
        <w:trPr>
          <w:gridAfter w:val="1"/>
          <w:wAfter w:w="11" w:type="dxa"/>
        </w:trPr>
        <w:tc>
          <w:tcPr>
            <w:tcW w:w="3686" w:type="dxa"/>
            <w:shd w:val="clear" w:color="auto" w:fill="auto"/>
          </w:tcPr>
          <w:p w14:paraId="2FB96A06" w14:textId="62BE2E9A" w:rsidR="000F4692" w:rsidRPr="00B14E52" w:rsidRDefault="000F4692" w:rsidP="00B231EC">
            <w:pPr>
              <w:pStyle w:val="ListParagraph"/>
              <w:suppressAutoHyphens/>
              <w:ind w:left="33" w:right="141"/>
              <w:jc w:val="both"/>
              <w:rPr>
                <w:rFonts w:asciiTheme="majorHAnsi" w:hAnsiTheme="majorHAnsi" w:cstheme="majorHAnsi"/>
                <w:b/>
                <w:sz w:val="23"/>
                <w:szCs w:val="23"/>
              </w:rPr>
            </w:pPr>
            <w:r w:rsidRPr="00B14E52">
              <w:rPr>
                <w:rFonts w:asciiTheme="majorHAnsi" w:hAnsiTheme="majorHAnsi" w:cstheme="majorHAnsi"/>
                <w:b/>
                <w:sz w:val="23"/>
                <w:szCs w:val="23"/>
              </w:rPr>
              <w:t>Atrankos agentūra</w:t>
            </w:r>
            <w:r w:rsidR="001D26AB" w:rsidRPr="00B14E52">
              <w:rPr>
                <w:rFonts w:asciiTheme="majorHAnsi" w:hAnsiTheme="majorHAnsi" w:cstheme="majorHAnsi"/>
                <w:b/>
                <w:sz w:val="23"/>
                <w:szCs w:val="23"/>
              </w:rPr>
              <w:t xml:space="preserve"> arba Agentūra</w:t>
            </w:r>
          </w:p>
        </w:tc>
        <w:tc>
          <w:tcPr>
            <w:tcW w:w="7195" w:type="dxa"/>
            <w:shd w:val="clear" w:color="auto" w:fill="auto"/>
          </w:tcPr>
          <w:p w14:paraId="77252338" w14:textId="4720328B" w:rsidR="000F4692" w:rsidRPr="00B14E52" w:rsidRDefault="000B2182" w:rsidP="00B231EC">
            <w:pPr>
              <w:pStyle w:val="ListParagraph"/>
              <w:suppressAutoHyphens/>
              <w:ind w:left="214" w:right="141"/>
              <w:jc w:val="both"/>
              <w:rPr>
                <w:rFonts w:asciiTheme="majorHAnsi" w:hAnsiTheme="majorHAnsi" w:cstheme="majorHAnsi"/>
                <w:sz w:val="23"/>
                <w:szCs w:val="23"/>
              </w:rPr>
            </w:pPr>
            <w:r w:rsidRPr="00B14E52">
              <w:rPr>
                <w:rFonts w:asciiTheme="majorHAnsi" w:hAnsiTheme="majorHAnsi" w:cstheme="majorHAnsi"/>
                <w:sz w:val="23"/>
                <w:szCs w:val="23"/>
              </w:rPr>
              <w:t>Vadovų ar personalo paieškos (atrankos) paslaugas teikiantis fizinis arba juridinis asmuo</w:t>
            </w:r>
          </w:p>
        </w:tc>
      </w:tr>
      <w:tr w:rsidR="002E56A3" w:rsidRPr="00B14E52" w14:paraId="5BB96464" w14:textId="77777777" w:rsidTr="00B231EC">
        <w:trPr>
          <w:gridAfter w:val="1"/>
          <w:wAfter w:w="11" w:type="dxa"/>
        </w:trPr>
        <w:tc>
          <w:tcPr>
            <w:tcW w:w="3686" w:type="dxa"/>
            <w:shd w:val="clear" w:color="auto" w:fill="auto"/>
          </w:tcPr>
          <w:p w14:paraId="5A7760BC" w14:textId="0C49451B" w:rsidR="002E56A3" w:rsidRPr="00B14E52" w:rsidRDefault="002E56A3" w:rsidP="00B231EC">
            <w:pPr>
              <w:pStyle w:val="ListParagraph"/>
              <w:suppressAutoHyphens/>
              <w:ind w:left="33" w:right="141"/>
              <w:jc w:val="both"/>
              <w:rPr>
                <w:rFonts w:asciiTheme="majorHAnsi" w:hAnsiTheme="majorHAnsi" w:cstheme="majorHAnsi"/>
                <w:b/>
                <w:color w:val="000000"/>
                <w:sz w:val="23"/>
                <w:szCs w:val="23"/>
              </w:rPr>
            </w:pPr>
            <w:r w:rsidRPr="00B14E52">
              <w:rPr>
                <w:rFonts w:asciiTheme="majorHAnsi" w:hAnsiTheme="majorHAnsi" w:cstheme="majorHAnsi"/>
                <w:b/>
                <w:color w:val="000000"/>
                <w:sz w:val="23"/>
                <w:szCs w:val="23"/>
              </w:rPr>
              <w:t>Bendrovė</w:t>
            </w:r>
          </w:p>
        </w:tc>
        <w:tc>
          <w:tcPr>
            <w:tcW w:w="7195" w:type="dxa"/>
            <w:shd w:val="clear" w:color="auto" w:fill="auto"/>
          </w:tcPr>
          <w:p w14:paraId="30C6F533" w14:textId="71ECE184" w:rsidR="002E56A3" w:rsidRPr="00B14E52" w:rsidRDefault="002E56A3" w:rsidP="00B231EC">
            <w:pPr>
              <w:pStyle w:val="ListParagraph"/>
              <w:suppressAutoHyphens/>
              <w:ind w:left="214" w:right="141"/>
              <w:jc w:val="both"/>
              <w:rPr>
                <w:rFonts w:asciiTheme="majorHAnsi" w:hAnsiTheme="majorHAnsi" w:cstheme="majorHAnsi"/>
                <w:color w:val="000000"/>
                <w:sz w:val="23"/>
                <w:szCs w:val="23"/>
              </w:rPr>
            </w:pPr>
            <w:r w:rsidRPr="00B14E52">
              <w:rPr>
                <w:rFonts w:asciiTheme="majorHAnsi" w:hAnsiTheme="majorHAnsi" w:cstheme="majorHAnsi"/>
                <w:color w:val="000000"/>
                <w:sz w:val="23"/>
                <w:szCs w:val="23"/>
              </w:rPr>
              <w:t>UAB „Vilniaus vandenys“</w:t>
            </w:r>
          </w:p>
        </w:tc>
      </w:tr>
      <w:tr w:rsidR="002E56A3" w:rsidRPr="00B14E52" w14:paraId="7842F784" w14:textId="77777777" w:rsidTr="00B231EC">
        <w:trPr>
          <w:gridAfter w:val="1"/>
          <w:wAfter w:w="11" w:type="dxa"/>
        </w:trPr>
        <w:tc>
          <w:tcPr>
            <w:tcW w:w="3686" w:type="dxa"/>
            <w:shd w:val="clear" w:color="auto" w:fill="auto"/>
          </w:tcPr>
          <w:p w14:paraId="7C5F6ADC" w14:textId="78E4D096" w:rsidR="002E56A3" w:rsidRPr="00B14E52" w:rsidRDefault="002E56A3" w:rsidP="00B231EC">
            <w:pPr>
              <w:pStyle w:val="ListParagraph"/>
              <w:suppressAutoHyphens/>
              <w:ind w:left="33" w:right="141"/>
              <w:jc w:val="both"/>
              <w:rPr>
                <w:rFonts w:asciiTheme="majorHAnsi" w:hAnsiTheme="majorHAnsi" w:cstheme="majorHAnsi"/>
                <w:b/>
                <w:color w:val="000000"/>
                <w:sz w:val="23"/>
                <w:szCs w:val="23"/>
              </w:rPr>
            </w:pPr>
            <w:r w:rsidRPr="00B14E52">
              <w:rPr>
                <w:rFonts w:asciiTheme="majorHAnsi" w:hAnsiTheme="majorHAnsi" w:cstheme="majorHAnsi"/>
                <w:b/>
                <w:color w:val="000000"/>
                <w:sz w:val="23"/>
                <w:szCs w:val="23"/>
              </w:rPr>
              <w:t>Įstatymas</w:t>
            </w:r>
          </w:p>
        </w:tc>
        <w:tc>
          <w:tcPr>
            <w:tcW w:w="7195" w:type="dxa"/>
            <w:shd w:val="clear" w:color="auto" w:fill="auto"/>
          </w:tcPr>
          <w:p w14:paraId="739362D2" w14:textId="3F1BBD57" w:rsidR="002E56A3" w:rsidRPr="00B14E52" w:rsidRDefault="002E56A3" w:rsidP="00B231EC">
            <w:pPr>
              <w:pStyle w:val="ListParagraph"/>
              <w:suppressAutoHyphens/>
              <w:ind w:left="214" w:right="141"/>
              <w:jc w:val="both"/>
              <w:rPr>
                <w:rFonts w:asciiTheme="majorHAnsi" w:hAnsiTheme="majorHAnsi" w:cstheme="majorHAnsi"/>
                <w:color w:val="000000"/>
                <w:sz w:val="23"/>
                <w:szCs w:val="23"/>
              </w:rPr>
            </w:pPr>
            <w:r w:rsidRPr="00B14E52">
              <w:rPr>
                <w:rFonts w:asciiTheme="majorHAnsi" w:hAnsiTheme="majorHAnsi" w:cstheme="majorHAnsi"/>
                <w:sz w:val="23"/>
                <w:szCs w:val="23"/>
              </w:rPr>
              <w:t>Lietuvos Respublikos valstybės ir savivaldybių turto valdymo, naudojimo ir disponavimo juo įstatymas</w:t>
            </w:r>
          </w:p>
        </w:tc>
      </w:tr>
      <w:tr w:rsidR="002E56A3" w:rsidRPr="00B14E52" w14:paraId="0309473C" w14:textId="77777777" w:rsidTr="00B231EC">
        <w:trPr>
          <w:gridAfter w:val="1"/>
          <w:wAfter w:w="11" w:type="dxa"/>
        </w:trPr>
        <w:tc>
          <w:tcPr>
            <w:tcW w:w="3686" w:type="dxa"/>
            <w:shd w:val="clear" w:color="auto" w:fill="auto"/>
          </w:tcPr>
          <w:p w14:paraId="3675E47B" w14:textId="671DBF28" w:rsidR="002E56A3" w:rsidRPr="00B14E52" w:rsidRDefault="002E56A3" w:rsidP="00B231EC">
            <w:pPr>
              <w:pStyle w:val="ListParagraph"/>
              <w:suppressAutoHyphens/>
              <w:ind w:left="33" w:right="141"/>
              <w:jc w:val="both"/>
              <w:rPr>
                <w:rFonts w:asciiTheme="majorHAnsi" w:hAnsiTheme="majorHAnsi" w:cstheme="majorHAnsi"/>
                <w:b/>
                <w:color w:val="000000"/>
                <w:sz w:val="23"/>
                <w:szCs w:val="23"/>
              </w:rPr>
            </w:pPr>
            <w:r w:rsidRPr="00B14E52">
              <w:rPr>
                <w:rFonts w:asciiTheme="majorHAnsi" w:hAnsiTheme="majorHAnsi" w:cstheme="majorHAnsi"/>
                <w:b/>
                <w:color w:val="000000"/>
                <w:sz w:val="23"/>
                <w:szCs w:val="23"/>
              </w:rPr>
              <w:t>Politika</w:t>
            </w:r>
          </w:p>
        </w:tc>
        <w:tc>
          <w:tcPr>
            <w:tcW w:w="7195" w:type="dxa"/>
            <w:shd w:val="clear" w:color="auto" w:fill="auto"/>
          </w:tcPr>
          <w:p w14:paraId="63CB22F7" w14:textId="1B70CFF5" w:rsidR="002E56A3" w:rsidRPr="00B231EC" w:rsidRDefault="002E56A3" w:rsidP="00B231EC">
            <w:pPr>
              <w:pStyle w:val="ListParagraph"/>
              <w:suppressAutoHyphens/>
              <w:ind w:left="214" w:right="141"/>
              <w:jc w:val="both"/>
              <w:rPr>
                <w:rFonts w:asciiTheme="majorHAnsi" w:hAnsiTheme="majorHAnsi" w:cstheme="majorHAnsi"/>
                <w:sz w:val="23"/>
                <w:szCs w:val="23"/>
              </w:rPr>
            </w:pPr>
            <w:r w:rsidRPr="00B231EC">
              <w:rPr>
                <w:rFonts w:asciiTheme="majorHAnsi" w:hAnsiTheme="majorHAnsi" w:cstheme="majorHAnsi"/>
                <w:sz w:val="23"/>
                <w:szCs w:val="23"/>
              </w:rPr>
              <w:t xml:space="preserve">UAB „Vilniaus vandenys“ valdybos </w:t>
            </w:r>
            <w:r w:rsidR="00421462" w:rsidRPr="00B231EC">
              <w:rPr>
                <w:rFonts w:asciiTheme="majorHAnsi" w:hAnsiTheme="majorHAnsi" w:cstheme="majorHAnsi"/>
                <w:sz w:val="23"/>
                <w:szCs w:val="23"/>
              </w:rPr>
              <w:t xml:space="preserve">formavimo </w:t>
            </w:r>
            <w:r w:rsidR="00674DA9" w:rsidRPr="00B231EC">
              <w:rPr>
                <w:rFonts w:asciiTheme="majorHAnsi" w:hAnsiTheme="majorHAnsi" w:cstheme="majorHAnsi"/>
                <w:sz w:val="23"/>
                <w:szCs w:val="23"/>
              </w:rPr>
              <w:t>politika</w:t>
            </w:r>
          </w:p>
        </w:tc>
      </w:tr>
      <w:tr w:rsidR="00CB0F58" w:rsidRPr="00B14E52" w14:paraId="2D10FC7C" w14:textId="77777777" w:rsidTr="00763D31">
        <w:trPr>
          <w:gridAfter w:val="1"/>
          <w:wAfter w:w="11" w:type="dxa"/>
        </w:trPr>
        <w:tc>
          <w:tcPr>
            <w:tcW w:w="3686" w:type="dxa"/>
            <w:shd w:val="clear" w:color="auto" w:fill="auto"/>
          </w:tcPr>
          <w:p w14:paraId="664D1999" w14:textId="60917AB2" w:rsidR="00CB0F58" w:rsidRPr="00B14E52" w:rsidRDefault="00CB0F58" w:rsidP="00B231EC">
            <w:pPr>
              <w:pStyle w:val="ListParagraph"/>
              <w:suppressAutoHyphens/>
              <w:ind w:left="33" w:right="141"/>
              <w:jc w:val="both"/>
              <w:rPr>
                <w:rFonts w:asciiTheme="majorHAnsi" w:hAnsiTheme="majorHAnsi" w:cstheme="majorHAnsi"/>
                <w:b/>
                <w:color w:val="000000"/>
                <w:sz w:val="23"/>
                <w:szCs w:val="23"/>
              </w:rPr>
            </w:pPr>
            <w:r w:rsidRPr="00B14E52">
              <w:rPr>
                <w:rFonts w:asciiTheme="majorHAnsi" w:hAnsiTheme="majorHAnsi" w:cstheme="majorHAnsi"/>
                <w:b/>
                <w:color w:val="000000"/>
                <w:sz w:val="23"/>
                <w:szCs w:val="23"/>
              </w:rPr>
              <w:t xml:space="preserve">UAB „Vilniaus vandenys“ valdyba arba Valdyba </w:t>
            </w:r>
          </w:p>
        </w:tc>
        <w:tc>
          <w:tcPr>
            <w:tcW w:w="7195" w:type="dxa"/>
            <w:shd w:val="clear" w:color="auto" w:fill="auto"/>
          </w:tcPr>
          <w:p w14:paraId="36DBE5F0" w14:textId="6F3687B5" w:rsidR="00CB0F58" w:rsidRPr="00B14E52" w:rsidRDefault="00CB0F58" w:rsidP="00B231EC">
            <w:pPr>
              <w:pStyle w:val="ListParagraph"/>
              <w:suppressAutoHyphens/>
              <w:ind w:left="214" w:right="141"/>
              <w:jc w:val="both"/>
              <w:rPr>
                <w:rFonts w:asciiTheme="majorHAnsi" w:hAnsiTheme="majorHAnsi" w:cstheme="majorHAnsi"/>
                <w:color w:val="000000"/>
                <w:sz w:val="23"/>
                <w:szCs w:val="23"/>
              </w:rPr>
            </w:pPr>
            <w:r w:rsidRPr="00B14E52">
              <w:rPr>
                <w:rFonts w:asciiTheme="majorHAnsi" w:hAnsiTheme="majorHAnsi" w:cstheme="majorHAnsi"/>
                <w:color w:val="000000"/>
                <w:sz w:val="23"/>
                <w:szCs w:val="23"/>
              </w:rPr>
              <w:t>Kolegialus Bendrovės valdymo organas</w:t>
            </w:r>
          </w:p>
        </w:tc>
      </w:tr>
    </w:tbl>
    <w:p w14:paraId="2BAA8560" w14:textId="17BCAD5E" w:rsidR="007D0346" w:rsidRDefault="007D0346" w:rsidP="00C72786">
      <w:pPr>
        <w:tabs>
          <w:tab w:val="left" w:pos="1134"/>
        </w:tabs>
        <w:spacing w:after="0" w:line="240" w:lineRule="auto"/>
        <w:ind w:right="141"/>
        <w:jc w:val="both"/>
        <w:rPr>
          <w:rFonts w:asciiTheme="majorHAnsi" w:hAnsiTheme="majorHAnsi" w:cstheme="majorHAnsi"/>
          <w:sz w:val="23"/>
          <w:szCs w:val="23"/>
          <w:lang w:val="lt-LT"/>
        </w:rPr>
      </w:pPr>
    </w:p>
    <w:p w14:paraId="3C539FA1" w14:textId="77777777" w:rsidR="001112E3" w:rsidRPr="00B14E52" w:rsidRDefault="001112E3" w:rsidP="00C72786">
      <w:pPr>
        <w:tabs>
          <w:tab w:val="left" w:pos="1134"/>
        </w:tabs>
        <w:spacing w:after="0" w:line="240" w:lineRule="auto"/>
        <w:ind w:right="141"/>
        <w:jc w:val="both"/>
        <w:rPr>
          <w:rFonts w:asciiTheme="majorHAnsi" w:hAnsiTheme="majorHAnsi" w:cstheme="majorHAnsi"/>
          <w:sz w:val="23"/>
          <w:szCs w:val="23"/>
          <w:lang w:val="lt-LT"/>
        </w:rPr>
      </w:pPr>
    </w:p>
    <w:p w14:paraId="47CB8B51" w14:textId="53058F84" w:rsidR="007D0346" w:rsidRPr="00B14E52" w:rsidRDefault="002E56A3" w:rsidP="00C72786">
      <w:pPr>
        <w:pStyle w:val="ListParagraph"/>
        <w:numPr>
          <w:ilvl w:val="0"/>
          <w:numId w:val="18"/>
        </w:numPr>
        <w:tabs>
          <w:tab w:val="left" w:pos="1134"/>
        </w:tabs>
        <w:ind w:left="567" w:right="141" w:hanging="567"/>
        <w:jc w:val="both"/>
        <w:rPr>
          <w:rFonts w:asciiTheme="majorHAnsi" w:hAnsiTheme="majorHAnsi" w:cstheme="majorHAnsi"/>
          <w:sz w:val="23"/>
          <w:szCs w:val="23"/>
        </w:rPr>
      </w:pPr>
      <w:r w:rsidRPr="00B14E52">
        <w:rPr>
          <w:rFonts w:asciiTheme="majorHAnsi" w:hAnsiTheme="majorHAnsi" w:cstheme="majorHAnsi"/>
          <w:b/>
          <w:sz w:val="23"/>
          <w:szCs w:val="23"/>
        </w:rPr>
        <w:t>PAGRINDINĖS NUOSTATOS</w:t>
      </w:r>
    </w:p>
    <w:p w14:paraId="66AC7B4A" w14:textId="3D0C4DEB" w:rsidR="007D0346" w:rsidRPr="00B14E52" w:rsidRDefault="002E56A3" w:rsidP="00C72786">
      <w:pPr>
        <w:pStyle w:val="ListParagraph"/>
        <w:numPr>
          <w:ilvl w:val="1"/>
          <w:numId w:val="18"/>
        </w:numPr>
        <w:tabs>
          <w:tab w:val="left" w:pos="1134"/>
        </w:tabs>
        <w:ind w:right="141"/>
        <w:jc w:val="both"/>
        <w:rPr>
          <w:rFonts w:asciiTheme="majorHAnsi" w:hAnsiTheme="majorHAnsi" w:cstheme="majorHAnsi"/>
          <w:sz w:val="23"/>
          <w:szCs w:val="23"/>
        </w:rPr>
      </w:pPr>
      <w:r w:rsidRPr="00B14E52">
        <w:rPr>
          <w:rFonts w:asciiTheme="majorHAnsi" w:hAnsiTheme="majorHAnsi" w:cstheme="majorHAnsi"/>
          <w:sz w:val="23"/>
          <w:szCs w:val="23"/>
        </w:rPr>
        <w:t>Bendrovės valdyba yra kolegialus valdymo organas.</w:t>
      </w:r>
    </w:p>
    <w:p w14:paraId="1C161035" w14:textId="7768E842" w:rsidR="003E6154" w:rsidRPr="00B14E52" w:rsidRDefault="003E6154" w:rsidP="00B231EC">
      <w:pPr>
        <w:pStyle w:val="ListParagraph"/>
        <w:numPr>
          <w:ilvl w:val="1"/>
          <w:numId w:val="18"/>
        </w:numPr>
        <w:tabs>
          <w:tab w:val="left" w:pos="1134"/>
        </w:tabs>
        <w:ind w:right="141"/>
        <w:jc w:val="both"/>
        <w:rPr>
          <w:rFonts w:asciiTheme="majorHAnsi" w:hAnsiTheme="majorHAnsi" w:cstheme="majorHAnsi"/>
          <w:sz w:val="23"/>
          <w:szCs w:val="23"/>
        </w:rPr>
      </w:pPr>
      <w:r w:rsidRPr="00B14E52">
        <w:rPr>
          <w:rFonts w:asciiTheme="majorHAnsi" w:hAnsiTheme="majorHAnsi" w:cstheme="majorHAnsi"/>
          <w:sz w:val="23"/>
          <w:szCs w:val="23"/>
        </w:rPr>
        <w:t>Valdybos veiklą reglamentuoja Lietuvos Respublikos akcinių bendrovių įstatymas, Bendrovės įstatai</w:t>
      </w:r>
      <w:r w:rsidR="00B231EC">
        <w:rPr>
          <w:rFonts w:asciiTheme="majorHAnsi" w:hAnsiTheme="majorHAnsi" w:cstheme="majorHAnsi"/>
          <w:sz w:val="23"/>
          <w:szCs w:val="23"/>
        </w:rPr>
        <w:t>. Valdybos darbo tvarką nustato v</w:t>
      </w:r>
      <w:r w:rsidRPr="00B14E52">
        <w:rPr>
          <w:rFonts w:asciiTheme="majorHAnsi" w:hAnsiTheme="majorHAnsi" w:cstheme="majorHAnsi"/>
          <w:sz w:val="23"/>
          <w:szCs w:val="23"/>
        </w:rPr>
        <w:t>aldybos darbo reglamentas.</w:t>
      </w:r>
    </w:p>
    <w:p w14:paraId="0202B00F" w14:textId="761EF41A" w:rsidR="007D0346" w:rsidRPr="00B14E52" w:rsidRDefault="002E56A3" w:rsidP="00B231EC">
      <w:pPr>
        <w:pStyle w:val="ListParagraph"/>
        <w:numPr>
          <w:ilvl w:val="1"/>
          <w:numId w:val="18"/>
        </w:numPr>
        <w:tabs>
          <w:tab w:val="left" w:pos="1134"/>
        </w:tabs>
        <w:ind w:right="141"/>
        <w:jc w:val="both"/>
        <w:rPr>
          <w:rFonts w:asciiTheme="majorHAnsi" w:hAnsiTheme="majorHAnsi" w:cstheme="majorHAnsi"/>
          <w:sz w:val="23"/>
          <w:szCs w:val="23"/>
        </w:rPr>
      </w:pPr>
      <w:r w:rsidRPr="00B14E52">
        <w:rPr>
          <w:rFonts w:asciiTheme="majorHAnsi" w:hAnsiTheme="majorHAnsi" w:cstheme="majorHAnsi"/>
          <w:sz w:val="23"/>
          <w:szCs w:val="23"/>
        </w:rPr>
        <w:t xml:space="preserve">Valdybą iš 7 narių 4 metams renka Bendrovės visuotinis akcininkų susirinkimas. Visuotinis akcininkų susirinkimas gali atšaukti visą valdybą arba pavienius jos narius nesibaigus jų kadencijai. Jeigu renkami pavieniai valdybos nariai, jie renkami iki veikiančios valdybos kadencijos pabaigos.  </w:t>
      </w:r>
    </w:p>
    <w:p w14:paraId="1C877100" w14:textId="42B10B34" w:rsidR="009D499C" w:rsidRPr="00B14E52" w:rsidRDefault="009D499C" w:rsidP="00B231EC">
      <w:pPr>
        <w:pStyle w:val="ListParagraph"/>
        <w:numPr>
          <w:ilvl w:val="1"/>
          <w:numId w:val="18"/>
        </w:numPr>
        <w:tabs>
          <w:tab w:val="left" w:pos="1134"/>
        </w:tabs>
        <w:ind w:right="141"/>
        <w:jc w:val="both"/>
        <w:rPr>
          <w:rFonts w:asciiTheme="majorHAnsi" w:hAnsiTheme="majorHAnsi" w:cstheme="majorHAnsi"/>
          <w:sz w:val="23"/>
          <w:szCs w:val="23"/>
        </w:rPr>
      </w:pPr>
      <w:r w:rsidRPr="00B14E52">
        <w:rPr>
          <w:rFonts w:asciiTheme="majorHAnsi" w:hAnsiTheme="majorHAnsi" w:cstheme="majorHAnsi"/>
          <w:sz w:val="23"/>
          <w:szCs w:val="23"/>
        </w:rPr>
        <w:t>Atranka į Bendrovės valdybą vykdoma</w:t>
      </w:r>
      <w:r w:rsidRPr="00B231EC">
        <w:rPr>
          <w:rFonts w:asciiTheme="majorHAnsi" w:hAnsiTheme="majorHAnsi" w:cstheme="majorHAnsi"/>
          <w:sz w:val="23"/>
          <w:szCs w:val="23"/>
        </w:rPr>
        <w:t xml:space="preserve"> vadovaujantis </w:t>
      </w:r>
      <w:r w:rsidRPr="00B14E52">
        <w:rPr>
          <w:rFonts w:asciiTheme="majorHAnsi" w:hAnsiTheme="majorHAnsi" w:cstheme="majorHAnsi"/>
          <w:sz w:val="23"/>
          <w:szCs w:val="23"/>
        </w:rPr>
        <w:t xml:space="preserve">Lietuvos Respublikos Vyriausybės 2015 m. birželio 17 d. nutarimu Nr. 631 patvirtinto Kandidatų į valstybės ar savivaldybės įmonės, valstybės ar savivaldybės valdomos bendrovės ar jos dukterinės bendrovės kolegialų priežiūros ar valdymo organą atrankos aprašo (toliau – Aprašas) aktualios redakcijos reikalavimais. Bendrovės akcininkų, Atranką inicijuojančio subjekto, Atrankos komisijos teisės ar pareigos, aprašytos šioje Politikoje, </w:t>
      </w:r>
      <w:r w:rsidRPr="00B231EC">
        <w:rPr>
          <w:rFonts w:asciiTheme="majorHAnsi" w:hAnsiTheme="majorHAnsi" w:cstheme="majorHAnsi"/>
          <w:sz w:val="23"/>
          <w:szCs w:val="23"/>
        </w:rPr>
        <w:t xml:space="preserve">yra </w:t>
      </w:r>
      <w:r w:rsidRPr="00B14E52">
        <w:rPr>
          <w:rFonts w:asciiTheme="majorHAnsi" w:hAnsiTheme="majorHAnsi" w:cstheme="majorHAnsi"/>
          <w:sz w:val="23"/>
          <w:szCs w:val="23"/>
        </w:rPr>
        <w:t>rekomendacinio pobūdžio.</w:t>
      </w:r>
    </w:p>
    <w:p w14:paraId="169B30E6" w14:textId="0BBABD80" w:rsidR="006C5381" w:rsidRPr="00B14E52" w:rsidRDefault="006C5381" w:rsidP="00B231EC">
      <w:pPr>
        <w:pStyle w:val="ListParagraph"/>
        <w:numPr>
          <w:ilvl w:val="1"/>
          <w:numId w:val="18"/>
        </w:numPr>
        <w:tabs>
          <w:tab w:val="left" w:pos="1134"/>
        </w:tabs>
        <w:ind w:right="141"/>
        <w:jc w:val="both"/>
        <w:rPr>
          <w:rFonts w:asciiTheme="majorHAnsi" w:hAnsiTheme="majorHAnsi" w:cstheme="majorHAnsi"/>
          <w:sz w:val="23"/>
          <w:szCs w:val="23"/>
        </w:rPr>
      </w:pPr>
      <w:r w:rsidRPr="00B14E52">
        <w:rPr>
          <w:rFonts w:asciiTheme="majorHAnsi" w:hAnsiTheme="majorHAnsi" w:cstheme="majorHAnsi"/>
          <w:sz w:val="23"/>
          <w:szCs w:val="23"/>
        </w:rPr>
        <w:t xml:space="preserve">Bendrovė pripažįsta kvalifikuotos ir kompetentingos bei įsitraukusios valdybos svarbą, siekiant strateginių Bendrovės tikslų bei didinant vertę </w:t>
      </w:r>
      <w:r w:rsidR="00122032" w:rsidRPr="00B14E52">
        <w:rPr>
          <w:rFonts w:asciiTheme="majorHAnsi" w:hAnsiTheme="majorHAnsi" w:cstheme="majorHAnsi"/>
          <w:sz w:val="23"/>
          <w:szCs w:val="23"/>
        </w:rPr>
        <w:t>akcinink</w:t>
      </w:r>
      <w:r w:rsidR="00122032">
        <w:rPr>
          <w:rFonts w:asciiTheme="majorHAnsi" w:hAnsiTheme="majorHAnsi" w:cstheme="majorHAnsi"/>
          <w:sz w:val="23"/>
          <w:szCs w:val="23"/>
        </w:rPr>
        <w:t>ams</w:t>
      </w:r>
      <w:r w:rsidR="00122032" w:rsidRPr="00B14E52">
        <w:rPr>
          <w:rFonts w:asciiTheme="majorHAnsi" w:hAnsiTheme="majorHAnsi" w:cstheme="majorHAnsi"/>
          <w:sz w:val="23"/>
          <w:szCs w:val="23"/>
        </w:rPr>
        <w:t xml:space="preserve"> </w:t>
      </w:r>
      <w:r w:rsidRPr="00B14E52">
        <w:rPr>
          <w:rFonts w:asciiTheme="majorHAnsi" w:hAnsiTheme="majorHAnsi" w:cstheme="majorHAnsi"/>
          <w:sz w:val="23"/>
          <w:szCs w:val="23"/>
        </w:rPr>
        <w:t>ir prisidedant prie visuomenės gerovės.</w:t>
      </w:r>
    </w:p>
    <w:p w14:paraId="3EBDA519" w14:textId="77777777" w:rsidR="007D0346" w:rsidRPr="00B14E52" w:rsidRDefault="007D0346" w:rsidP="00B231EC">
      <w:pPr>
        <w:tabs>
          <w:tab w:val="left" w:pos="1134"/>
        </w:tabs>
        <w:spacing w:after="0" w:line="240" w:lineRule="auto"/>
        <w:ind w:left="567" w:right="141"/>
        <w:jc w:val="center"/>
        <w:rPr>
          <w:rFonts w:asciiTheme="majorHAnsi" w:hAnsiTheme="majorHAnsi" w:cstheme="majorHAnsi"/>
          <w:sz w:val="23"/>
          <w:szCs w:val="23"/>
          <w:lang w:val="lt-LT"/>
        </w:rPr>
      </w:pPr>
    </w:p>
    <w:p w14:paraId="0F555479" w14:textId="0F68DBAC" w:rsidR="007D0346" w:rsidRPr="00B14E52" w:rsidRDefault="007C28B3" w:rsidP="00B231EC">
      <w:pPr>
        <w:pStyle w:val="ListParagraph"/>
        <w:numPr>
          <w:ilvl w:val="0"/>
          <w:numId w:val="18"/>
        </w:numPr>
        <w:tabs>
          <w:tab w:val="left" w:pos="1134"/>
        </w:tabs>
        <w:ind w:left="567" w:right="141" w:hanging="567"/>
        <w:jc w:val="both"/>
        <w:rPr>
          <w:rFonts w:asciiTheme="majorHAnsi" w:hAnsiTheme="majorHAnsi" w:cstheme="majorHAnsi"/>
          <w:b/>
          <w:sz w:val="23"/>
          <w:szCs w:val="23"/>
        </w:rPr>
      </w:pPr>
      <w:r w:rsidRPr="00B14E52">
        <w:rPr>
          <w:rFonts w:asciiTheme="majorHAnsi" w:hAnsiTheme="majorHAnsi" w:cstheme="majorHAnsi"/>
          <w:b/>
          <w:sz w:val="23"/>
          <w:szCs w:val="23"/>
        </w:rPr>
        <w:t xml:space="preserve">VALDYBOS </w:t>
      </w:r>
      <w:r w:rsidR="00050FBB">
        <w:rPr>
          <w:rFonts w:asciiTheme="majorHAnsi" w:hAnsiTheme="majorHAnsi" w:cstheme="majorHAnsi"/>
          <w:b/>
          <w:sz w:val="23"/>
          <w:szCs w:val="23"/>
        </w:rPr>
        <w:t>FORMAVIMO</w:t>
      </w:r>
      <w:r w:rsidRPr="00B14E52">
        <w:rPr>
          <w:rFonts w:asciiTheme="majorHAnsi" w:hAnsiTheme="majorHAnsi" w:cstheme="majorHAnsi"/>
          <w:b/>
          <w:sz w:val="23"/>
          <w:szCs w:val="23"/>
        </w:rPr>
        <w:t xml:space="preserve"> PRINCIPAI</w:t>
      </w:r>
      <w:r w:rsidR="001117B2" w:rsidRPr="00B14E52">
        <w:rPr>
          <w:rFonts w:asciiTheme="majorHAnsi" w:hAnsiTheme="majorHAnsi" w:cstheme="majorHAnsi"/>
          <w:b/>
          <w:sz w:val="23"/>
          <w:szCs w:val="23"/>
        </w:rPr>
        <w:t xml:space="preserve"> IR REKOMENDACIJOS</w:t>
      </w:r>
    </w:p>
    <w:p w14:paraId="64225C2E" w14:textId="792E7CDF" w:rsidR="00AE6F32" w:rsidRPr="00B231EC" w:rsidRDefault="008C6059" w:rsidP="00B231EC">
      <w:pPr>
        <w:pStyle w:val="ListParagraph"/>
        <w:numPr>
          <w:ilvl w:val="1"/>
          <w:numId w:val="18"/>
        </w:numPr>
        <w:tabs>
          <w:tab w:val="left" w:pos="1134"/>
        </w:tabs>
        <w:ind w:right="141"/>
        <w:jc w:val="both"/>
        <w:rPr>
          <w:rFonts w:asciiTheme="majorHAnsi" w:hAnsiTheme="majorHAnsi" w:cstheme="majorHAnsi"/>
          <w:sz w:val="23"/>
          <w:szCs w:val="23"/>
        </w:rPr>
      </w:pPr>
      <w:r w:rsidRPr="00B14E52">
        <w:rPr>
          <w:rFonts w:asciiTheme="majorHAnsi" w:hAnsiTheme="majorHAnsi" w:cstheme="majorHAnsi"/>
          <w:b/>
          <w:bCs/>
          <w:sz w:val="23"/>
          <w:szCs w:val="23"/>
        </w:rPr>
        <w:t>Tęstinumas.</w:t>
      </w:r>
      <w:r w:rsidRPr="00B14E52">
        <w:rPr>
          <w:rFonts w:asciiTheme="majorHAnsi" w:hAnsiTheme="majorHAnsi" w:cstheme="majorHAnsi"/>
          <w:sz w:val="23"/>
          <w:szCs w:val="23"/>
        </w:rPr>
        <w:t xml:space="preserve"> </w:t>
      </w:r>
      <w:r w:rsidR="001117B2" w:rsidRPr="00B14E52">
        <w:rPr>
          <w:rFonts w:asciiTheme="majorHAnsi" w:hAnsiTheme="majorHAnsi" w:cstheme="majorHAnsi"/>
          <w:sz w:val="23"/>
          <w:szCs w:val="23"/>
        </w:rPr>
        <w:t>Turi būti s</w:t>
      </w:r>
      <w:r w:rsidR="0055745A" w:rsidRPr="00B14E52">
        <w:rPr>
          <w:rFonts w:asciiTheme="majorHAnsi" w:hAnsiTheme="majorHAnsi" w:cstheme="majorHAnsi"/>
          <w:sz w:val="23"/>
          <w:szCs w:val="23"/>
        </w:rPr>
        <w:t>iekiama, kad v</w:t>
      </w:r>
      <w:r w:rsidRPr="00B14E52">
        <w:rPr>
          <w:rFonts w:asciiTheme="majorHAnsi" w:hAnsiTheme="majorHAnsi" w:cstheme="majorHAnsi"/>
          <w:sz w:val="23"/>
          <w:szCs w:val="23"/>
        </w:rPr>
        <w:t xml:space="preserve">aldybos veikla </w:t>
      </w:r>
      <w:r w:rsidR="0055745A" w:rsidRPr="00B14E52">
        <w:rPr>
          <w:rFonts w:asciiTheme="majorHAnsi" w:hAnsiTheme="majorHAnsi" w:cstheme="majorHAnsi"/>
          <w:sz w:val="23"/>
          <w:szCs w:val="23"/>
        </w:rPr>
        <w:t>būtų</w:t>
      </w:r>
      <w:r w:rsidRPr="00B14E52">
        <w:rPr>
          <w:rFonts w:asciiTheme="majorHAnsi" w:hAnsiTheme="majorHAnsi" w:cstheme="majorHAnsi"/>
          <w:sz w:val="23"/>
          <w:szCs w:val="23"/>
        </w:rPr>
        <w:t xml:space="preserve"> nepertraukiama ir tęstinė</w:t>
      </w:r>
      <w:r w:rsidR="0055745A" w:rsidRPr="00B14E52">
        <w:rPr>
          <w:rFonts w:asciiTheme="majorHAnsi" w:hAnsiTheme="majorHAnsi" w:cstheme="majorHAnsi"/>
          <w:sz w:val="23"/>
          <w:szCs w:val="23"/>
        </w:rPr>
        <w:t>;</w:t>
      </w:r>
      <w:r w:rsidRPr="00B14E52">
        <w:rPr>
          <w:rFonts w:asciiTheme="majorHAnsi" w:hAnsiTheme="majorHAnsi" w:cstheme="majorHAnsi"/>
          <w:sz w:val="23"/>
          <w:szCs w:val="23"/>
        </w:rPr>
        <w:t xml:space="preserve"> </w:t>
      </w:r>
      <w:r w:rsidR="0055745A" w:rsidRPr="00B14E52">
        <w:rPr>
          <w:rFonts w:asciiTheme="majorHAnsi" w:hAnsiTheme="majorHAnsi" w:cstheme="majorHAnsi"/>
          <w:sz w:val="23"/>
          <w:szCs w:val="23"/>
        </w:rPr>
        <w:t>n</w:t>
      </w:r>
      <w:r w:rsidRPr="00B14E52">
        <w:rPr>
          <w:rFonts w:asciiTheme="majorHAnsi" w:hAnsiTheme="majorHAnsi" w:cstheme="majorHAnsi"/>
          <w:sz w:val="23"/>
          <w:szCs w:val="23"/>
        </w:rPr>
        <w:t>epriklausomų valdybos narių atrankos procedūros gali užtrukti apie 4-</w:t>
      </w:r>
      <w:r w:rsidR="00AF7176" w:rsidRPr="00B14E52">
        <w:rPr>
          <w:rFonts w:asciiTheme="majorHAnsi" w:hAnsiTheme="majorHAnsi" w:cstheme="majorHAnsi"/>
          <w:sz w:val="23"/>
          <w:szCs w:val="23"/>
        </w:rPr>
        <w:t>5</w:t>
      </w:r>
      <w:r w:rsidRPr="00B14E52">
        <w:rPr>
          <w:rFonts w:asciiTheme="majorHAnsi" w:hAnsiTheme="majorHAnsi" w:cstheme="majorHAnsi"/>
          <w:sz w:val="23"/>
          <w:szCs w:val="23"/>
        </w:rPr>
        <w:t xml:space="preserve"> mėnesius, todėl </w:t>
      </w:r>
      <w:r w:rsidR="008250AA" w:rsidRPr="00B14E52">
        <w:rPr>
          <w:rFonts w:asciiTheme="majorHAnsi" w:hAnsiTheme="majorHAnsi" w:cstheme="majorHAnsi"/>
          <w:sz w:val="23"/>
          <w:szCs w:val="23"/>
        </w:rPr>
        <w:t>rekomenduojama</w:t>
      </w:r>
      <w:r w:rsidRPr="00B14E52">
        <w:rPr>
          <w:rFonts w:asciiTheme="majorHAnsi" w:hAnsiTheme="majorHAnsi" w:cstheme="majorHAnsi"/>
          <w:sz w:val="23"/>
          <w:szCs w:val="23"/>
        </w:rPr>
        <w:t xml:space="preserve"> atranką planuoti iš anksto.</w:t>
      </w:r>
      <w:r w:rsidR="00842570" w:rsidRPr="00B14E52">
        <w:rPr>
          <w:rFonts w:asciiTheme="majorHAnsi" w:hAnsiTheme="majorHAnsi" w:cstheme="majorHAnsi"/>
          <w:sz w:val="23"/>
          <w:szCs w:val="23"/>
        </w:rPr>
        <w:t xml:space="preserve"> Gerosios valdysenos praktikos rekomenduoja, kad naujos kadencijos valdybose veiktų ir ankstesnės kadencijos valdybos nariai, tokiu būdu yra užtikrinamas valdybos veiklos nepertraukiamumas ir išvengiama situacijų, kai visa naujai išrinkta valdyba kadencijos pradžioje gali užtrukti pakankamai ilgą laiką susipažinti su Bendrovės ir valdybos veikla, jos specifika. </w:t>
      </w:r>
    </w:p>
    <w:p w14:paraId="43CC38EA" w14:textId="71097E36" w:rsidR="00A67034" w:rsidRPr="00B14E52" w:rsidRDefault="00E22878" w:rsidP="00B231EC">
      <w:pPr>
        <w:pStyle w:val="ListParagraph"/>
        <w:numPr>
          <w:ilvl w:val="1"/>
          <w:numId w:val="18"/>
        </w:numPr>
        <w:tabs>
          <w:tab w:val="left" w:pos="1134"/>
        </w:tabs>
        <w:ind w:right="141"/>
        <w:jc w:val="both"/>
        <w:rPr>
          <w:rFonts w:asciiTheme="majorHAnsi" w:hAnsiTheme="majorHAnsi" w:cstheme="majorHAnsi"/>
          <w:sz w:val="23"/>
          <w:szCs w:val="23"/>
        </w:rPr>
      </w:pPr>
      <w:r w:rsidRPr="00B14E52">
        <w:rPr>
          <w:rFonts w:asciiTheme="majorHAnsi" w:hAnsiTheme="majorHAnsi" w:cstheme="majorHAnsi"/>
          <w:b/>
          <w:bCs/>
          <w:color w:val="000000"/>
          <w:sz w:val="23"/>
          <w:szCs w:val="23"/>
        </w:rPr>
        <w:t xml:space="preserve">Bendrovės </w:t>
      </w:r>
      <w:r w:rsidR="00CB3461" w:rsidRPr="00B14E52">
        <w:rPr>
          <w:rFonts w:asciiTheme="majorHAnsi" w:hAnsiTheme="majorHAnsi" w:cstheme="majorHAnsi"/>
          <w:b/>
          <w:bCs/>
          <w:color w:val="000000"/>
          <w:sz w:val="23"/>
          <w:szCs w:val="23"/>
        </w:rPr>
        <w:t xml:space="preserve">ir Valdybos </w:t>
      </w:r>
      <w:r w:rsidRPr="00B14E52">
        <w:rPr>
          <w:rFonts w:asciiTheme="majorHAnsi" w:hAnsiTheme="majorHAnsi" w:cstheme="majorHAnsi"/>
          <w:b/>
          <w:bCs/>
          <w:color w:val="000000"/>
          <w:sz w:val="23"/>
          <w:szCs w:val="23"/>
        </w:rPr>
        <w:t>įsitraukimas</w:t>
      </w:r>
      <w:r w:rsidR="008C6059" w:rsidRPr="00B14E52">
        <w:rPr>
          <w:rFonts w:asciiTheme="majorHAnsi" w:hAnsiTheme="majorHAnsi" w:cstheme="majorHAnsi"/>
          <w:color w:val="000000"/>
          <w:sz w:val="23"/>
          <w:szCs w:val="23"/>
        </w:rPr>
        <w:t>.</w:t>
      </w:r>
      <w:r w:rsidR="00AD22DC" w:rsidRPr="00B14E52">
        <w:rPr>
          <w:rFonts w:asciiTheme="majorHAnsi" w:hAnsiTheme="majorHAnsi" w:cstheme="majorHAnsi"/>
          <w:color w:val="000000"/>
          <w:sz w:val="23"/>
          <w:szCs w:val="23"/>
        </w:rPr>
        <w:t xml:space="preserve"> Rekomenduojama, kad Bendrovė</w:t>
      </w:r>
      <w:r w:rsidR="007C28B3" w:rsidRPr="00B14E52">
        <w:rPr>
          <w:rFonts w:asciiTheme="majorHAnsi" w:hAnsiTheme="majorHAnsi" w:cstheme="majorHAnsi"/>
          <w:color w:val="000000"/>
          <w:sz w:val="23"/>
          <w:szCs w:val="23"/>
        </w:rPr>
        <w:t xml:space="preserve">s </w:t>
      </w:r>
      <w:r w:rsidRPr="00B14E52">
        <w:rPr>
          <w:rFonts w:asciiTheme="majorHAnsi" w:hAnsiTheme="majorHAnsi" w:cstheme="majorHAnsi"/>
          <w:color w:val="000000"/>
          <w:sz w:val="23"/>
          <w:szCs w:val="23"/>
        </w:rPr>
        <w:t>ir jos kolegialių organų vadovai</w:t>
      </w:r>
      <w:r w:rsidR="00AD22DC" w:rsidRPr="00B14E52">
        <w:rPr>
          <w:rFonts w:asciiTheme="majorHAnsi" w:hAnsiTheme="majorHAnsi" w:cstheme="majorHAnsi"/>
          <w:color w:val="000000"/>
          <w:sz w:val="23"/>
          <w:szCs w:val="23"/>
        </w:rPr>
        <w:t xml:space="preserve"> reikšmingai prisidėtų prie </w:t>
      </w:r>
      <w:r w:rsidR="0055745A" w:rsidRPr="00B14E52">
        <w:rPr>
          <w:rFonts w:asciiTheme="majorHAnsi" w:hAnsiTheme="majorHAnsi" w:cstheme="majorHAnsi"/>
          <w:color w:val="000000"/>
          <w:sz w:val="23"/>
          <w:szCs w:val="23"/>
        </w:rPr>
        <w:t xml:space="preserve">renkamos </w:t>
      </w:r>
      <w:r w:rsidR="00AD22DC" w:rsidRPr="00B14E52">
        <w:rPr>
          <w:rFonts w:asciiTheme="majorHAnsi" w:hAnsiTheme="majorHAnsi" w:cstheme="majorHAnsi"/>
          <w:color w:val="000000"/>
          <w:sz w:val="23"/>
          <w:szCs w:val="23"/>
        </w:rPr>
        <w:t xml:space="preserve">valdybos kompetencijų formulavimo ir kvalifikacinių reikalavimų kandidatams nustatymo proceso. </w:t>
      </w:r>
    </w:p>
    <w:p w14:paraId="572CA4B9" w14:textId="111E9E8C" w:rsidR="002B01E2" w:rsidRPr="00B14E52" w:rsidRDefault="002B01E2" w:rsidP="00B231EC">
      <w:pPr>
        <w:pStyle w:val="ListParagraph"/>
        <w:numPr>
          <w:ilvl w:val="1"/>
          <w:numId w:val="18"/>
        </w:numPr>
        <w:tabs>
          <w:tab w:val="left" w:pos="1134"/>
        </w:tabs>
        <w:ind w:right="141"/>
        <w:jc w:val="both"/>
        <w:rPr>
          <w:rFonts w:asciiTheme="majorHAnsi" w:hAnsiTheme="majorHAnsi" w:cstheme="majorHAnsi"/>
          <w:sz w:val="23"/>
          <w:szCs w:val="23"/>
        </w:rPr>
      </w:pPr>
      <w:r w:rsidRPr="00B14E52">
        <w:rPr>
          <w:rFonts w:asciiTheme="majorHAnsi" w:hAnsiTheme="majorHAnsi" w:cstheme="majorHAnsi"/>
          <w:b/>
          <w:bCs/>
          <w:color w:val="000000"/>
          <w:sz w:val="23"/>
          <w:szCs w:val="23"/>
        </w:rPr>
        <w:t>Įvairovė</w:t>
      </w:r>
      <w:r w:rsidRPr="00B14E52">
        <w:rPr>
          <w:rFonts w:asciiTheme="majorHAnsi" w:hAnsiTheme="majorHAnsi" w:cstheme="majorHAnsi"/>
          <w:sz w:val="23"/>
          <w:szCs w:val="23"/>
        </w:rPr>
        <w:t xml:space="preserve"> (</w:t>
      </w:r>
      <w:r w:rsidR="00962052" w:rsidRPr="00B14E52">
        <w:rPr>
          <w:rFonts w:asciiTheme="majorHAnsi" w:hAnsiTheme="majorHAnsi" w:cstheme="majorHAnsi"/>
          <w:sz w:val="23"/>
          <w:szCs w:val="23"/>
        </w:rPr>
        <w:t xml:space="preserve">angl. </w:t>
      </w:r>
      <w:proofErr w:type="spellStart"/>
      <w:r w:rsidRPr="00B231EC">
        <w:rPr>
          <w:rFonts w:asciiTheme="majorHAnsi" w:hAnsiTheme="majorHAnsi" w:cstheme="majorHAnsi"/>
          <w:i/>
          <w:iCs/>
          <w:sz w:val="23"/>
          <w:szCs w:val="23"/>
        </w:rPr>
        <w:t>diversity</w:t>
      </w:r>
      <w:proofErr w:type="spellEnd"/>
      <w:r w:rsidRPr="00B14E52">
        <w:rPr>
          <w:rFonts w:asciiTheme="majorHAnsi" w:hAnsiTheme="majorHAnsi" w:cstheme="majorHAnsi"/>
          <w:sz w:val="23"/>
          <w:szCs w:val="23"/>
        </w:rPr>
        <w:t xml:space="preserve">). </w:t>
      </w:r>
      <w:r w:rsidR="00411B8F" w:rsidRPr="00B14E52">
        <w:rPr>
          <w:rFonts w:asciiTheme="majorHAnsi" w:hAnsiTheme="majorHAnsi" w:cstheme="majorHAnsi"/>
          <w:sz w:val="23"/>
          <w:szCs w:val="23"/>
        </w:rPr>
        <w:t>Rekomenduojama f</w:t>
      </w:r>
      <w:r w:rsidRPr="00B14E52">
        <w:rPr>
          <w:rFonts w:asciiTheme="majorHAnsi" w:hAnsiTheme="majorHAnsi" w:cstheme="majorHAnsi"/>
          <w:sz w:val="23"/>
          <w:szCs w:val="23"/>
        </w:rPr>
        <w:t>ormuojant valdybos sudėtį</w:t>
      </w:r>
      <w:r w:rsidR="00411B8F" w:rsidRPr="00B14E52">
        <w:rPr>
          <w:rFonts w:asciiTheme="majorHAnsi" w:hAnsiTheme="majorHAnsi" w:cstheme="majorHAnsi"/>
          <w:sz w:val="23"/>
          <w:szCs w:val="23"/>
        </w:rPr>
        <w:t xml:space="preserve"> </w:t>
      </w:r>
      <w:r w:rsidR="00622966">
        <w:rPr>
          <w:rFonts w:asciiTheme="majorHAnsi" w:hAnsiTheme="majorHAnsi" w:cstheme="majorHAnsi"/>
          <w:sz w:val="23"/>
          <w:szCs w:val="23"/>
        </w:rPr>
        <w:t xml:space="preserve">siekti </w:t>
      </w:r>
      <w:r w:rsidRPr="00B14E52">
        <w:rPr>
          <w:rFonts w:asciiTheme="majorHAnsi" w:hAnsiTheme="majorHAnsi" w:cstheme="majorHAnsi"/>
          <w:sz w:val="23"/>
          <w:szCs w:val="23"/>
        </w:rPr>
        <w:t xml:space="preserve">įvairovės žinių, </w:t>
      </w:r>
      <w:r w:rsidR="00F84E93" w:rsidRPr="00B14E52">
        <w:rPr>
          <w:rFonts w:asciiTheme="majorHAnsi" w:hAnsiTheme="majorHAnsi" w:cstheme="majorHAnsi"/>
          <w:sz w:val="23"/>
          <w:szCs w:val="23"/>
        </w:rPr>
        <w:t xml:space="preserve">profesinės </w:t>
      </w:r>
      <w:r w:rsidRPr="00B14E52">
        <w:rPr>
          <w:rFonts w:asciiTheme="majorHAnsi" w:hAnsiTheme="majorHAnsi" w:cstheme="majorHAnsi"/>
          <w:sz w:val="23"/>
          <w:szCs w:val="23"/>
        </w:rPr>
        <w:t>patirties, amžiaus prasme</w:t>
      </w:r>
      <w:r w:rsidR="00F84E93" w:rsidRPr="00B14E52">
        <w:rPr>
          <w:rFonts w:asciiTheme="majorHAnsi" w:hAnsiTheme="majorHAnsi" w:cstheme="majorHAnsi"/>
          <w:sz w:val="23"/>
          <w:szCs w:val="23"/>
        </w:rPr>
        <w:t xml:space="preserve">, taip pat </w:t>
      </w:r>
      <w:r w:rsidR="008F2EAC" w:rsidRPr="00B14E52">
        <w:rPr>
          <w:rFonts w:asciiTheme="majorHAnsi" w:hAnsiTheme="majorHAnsi" w:cstheme="majorHAnsi"/>
          <w:sz w:val="23"/>
          <w:szCs w:val="23"/>
        </w:rPr>
        <w:t>siekti</w:t>
      </w:r>
      <w:r w:rsidR="00F84E93" w:rsidRPr="00B14E52">
        <w:rPr>
          <w:rFonts w:asciiTheme="majorHAnsi" w:hAnsiTheme="majorHAnsi" w:cstheme="majorHAnsi"/>
          <w:sz w:val="23"/>
          <w:szCs w:val="23"/>
        </w:rPr>
        <w:t xml:space="preserve"> lyčių pusiausvyros</w:t>
      </w:r>
      <w:r w:rsidRPr="00B14E52">
        <w:rPr>
          <w:rFonts w:asciiTheme="majorHAnsi" w:hAnsiTheme="majorHAnsi" w:cstheme="majorHAnsi"/>
          <w:sz w:val="23"/>
          <w:szCs w:val="23"/>
        </w:rPr>
        <w:t>.</w:t>
      </w:r>
    </w:p>
    <w:p w14:paraId="1DCE4724" w14:textId="0AB33615" w:rsidR="008C6059" w:rsidRPr="00B14E52" w:rsidRDefault="008C6059" w:rsidP="00B231EC">
      <w:pPr>
        <w:pStyle w:val="ListParagraph"/>
        <w:numPr>
          <w:ilvl w:val="1"/>
          <w:numId w:val="18"/>
        </w:numPr>
        <w:autoSpaceDE w:val="0"/>
        <w:autoSpaceDN w:val="0"/>
        <w:adjustRightInd w:val="0"/>
        <w:ind w:right="141"/>
        <w:jc w:val="both"/>
        <w:rPr>
          <w:rFonts w:asciiTheme="majorHAnsi" w:hAnsiTheme="majorHAnsi" w:cstheme="majorHAnsi"/>
          <w:color w:val="000000"/>
          <w:sz w:val="23"/>
          <w:szCs w:val="23"/>
        </w:rPr>
      </w:pPr>
      <w:r w:rsidRPr="00B14E52">
        <w:rPr>
          <w:rFonts w:asciiTheme="majorHAnsi" w:hAnsiTheme="majorHAnsi" w:cstheme="majorHAnsi"/>
          <w:b/>
          <w:bCs/>
          <w:color w:val="000000"/>
          <w:sz w:val="23"/>
          <w:szCs w:val="23"/>
        </w:rPr>
        <w:t>Orientacija į kandidatą</w:t>
      </w:r>
      <w:r w:rsidRPr="00B14E52">
        <w:rPr>
          <w:rFonts w:asciiTheme="majorHAnsi" w:hAnsiTheme="majorHAnsi" w:cstheme="majorHAnsi"/>
          <w:color w:val="000000"/>
          <w:sz w:val="23"/>
          <w:szCs w:val="23"/>
        </w:rPr>
        <w:t>. Vykdant atranką tur</w:t>
      </w:r>
      <w:r w:rsidR="00170189" w:rsidRPr="00B14E52">
        <w:rPr>
          <w:rFonts w:asciiTheme="majorHAnsi" w:hAnsiTheme="majorHAnsi" w:cstheme="majorHAnsi"/>
          <w:color w:val="000000"/>
          <w:sz w:val="23"/>
          <w:szCs w:val="23"/>
        </w:rPr>
        <w:t>ėtų būt</w:t>
      </w:r>
      <w:r w:rsidRPr="00B14E52">
        <w:rPr>
          <w:rFonts w:asciiTheme="majorHAnsi" w:hAnsiTheme="majorHAnsi" w:cstheme="majorHAnsi"/>
          <w:color w:val="000000"/>
          <w:sz w:val="23"/>
          <w:szCs w:val="23"/>
        </w:rPr>
        <w:t xml:space="preserve">i siekiama procedūras organizuoti taip, kad jos sukeltų </w:t>
      </w:r>
      <w:r w:rsidR="00A67C89" w:rsidRPr="00B14E52">
        <w:rPr>
          <w:rFonts w:asciiTheme="majorHAnsi" w:hAnsiTheme="majorHAnsi" w:cstheme="majorHAnsi"/>
          <w:color w:val="000000"/>
          <w:sz w:val="23"/>
          <w:szCs w:val="23"/>
        </w:rPr>
        <w:t>kuo</w:t>
      </w:r>
      <w:r w:rsidRPr="00B14E52">
        <w:rPr>
          <w:rFonts w:asciiTheme="majorHAnsi" w:hAnsiTheme="majorHAnsi" w:cstheme="majorHAnsi"/>
          <w:color w:val="000000"/>
          <w:sz w:val="23"/>
          <w:szCs w:val="23"/>
        </w:rPr>
        <w:t xml:space="preserve"> mažiau nepatogumų atrankoje dalyvaujantiems kandidatams. Kandidatams tur</w:t>
      </w:r>
      <w:r w:rsidR="00170189" w:rsidRPr="00B14E52">
        <w:rPr>
          <w:rFonts w:asciiTheme="majorHAnsi" w:hAnsiTheme="majorHAnsi" w:cstheme="majorHAnsi"/>
          <w:color w:val="000000"/>
          <w:sz w:val="23"/>
          <w:szCs w:val="23"/>
        </w:rPr>
        <w:t>ėtų</w:t>
      </w:r>
      <w:r w:rsidRPr="00B14E52">
        <w:rPr>
          <w:rFonts w:asciiTheme="majorHAnsi" w:hAnsiTheme="majorHAnsi" w:cstheme="majorHAnsi"/>
          <w:color w:val="000000"/>
          <w:sz w:val="23"/>
          <w:szCs w:val="23"/>
        </w:rPr>
        <w:t xml:space="preserve"> būti pateik</w:t>
      </w:r>
      <w:r w:rsidR="00170189" w:rsidRPr="00B14E52">
        <w:rPr>
          <w:rFonts w:asciiTheme="majorHAnsi" w:hAnsiTheme="majorHAnsi" w:cstheme="majorHAnsi"/>
          <w:color w:val="000000"/>
          <w:sz w:val="23"/>
          <w:szCs w:val="23"/>
        </w:rPr>
        <w:t>iama</w:t>
      </w:r>
      <w:r w:rsidRPr="00B14E52">
        <w:rPr>
          <w:rFonts w:asciiTheme="majorHAnsi" w:hAnsiTheme="majorHAnsi" w:cstheme="majorHAnsi"/>
          <w:color w:val="000000"/>
          <w:sz w:val="23"/>
          <w:szCs w:val="23"/>
        </w:rPr>
        <w:t xml:space="preserve"> aiški informacija apie keliamus reikalavimus, atrankos procedūras ir terminus, sudaromos lanksčios sąlygos dalyvauti atrankoje, nereikalaujama perteklinių duomenų. </w:t>
      </w:r>
    </w:p>
    <w:p w14:paraId="03E3DBC6" w14:textId="182E75E9" w:rsidR="008C6059" w:rsidRPr="00B14E52" w:rsidRDefault="008C6059" w:rsidP="00B231EC">
      <w:pPr>
        <w:pStyle w:val="ListParagraph"/>
        <w:numPr>
          <w:ilvl w:val="1"/>
          <w:numId w:val="18"/>
        </w:numPr>
        <w:autoSpaceDE w:val="0"/>
        <w:autoSpaceDN w:val="0"/>
        <w:adjustRightInd w:val="0"/>
        <w:ind w:right="141"/>
        <w:jc w:val="both"/>
        <w:rPr>
          <w:rFonts w:asciiTheme="majorHAnsi" w:hAnsiTheme="majorHAnsi" w:cstheme="majorHAnsi"/>
          <w:color w:val="000000"/>
          <w:sz w:val="23"/>
          <w:szCs w:val="23"/>
        </w:rPr>
      </w:pPr>
      <w:r w:rsidRPr="00B14E52">
        <w:rPr>
          <w:rFonts w:asciiTheme="majorHAnsi" w:hAnsiTheme="majorHAnsi" w:cstheme="majorHAnsi"/>
          <w:b/>
          <w:bCs/>
          <w:color w:val="000000"/>
          <w:sz w:val="23"/>
          <w:szCs w:val="23"/>
        </w:rPr>
        <w:t>Konfidencialumas</w:t>
      </w:r>
      <w:r w:rsidRPr="00B14E52">
        <w:rPr>
          <w:rFonts w:asciiTheme="majorHAnsi" w:hAnsiTheme="majorHAnsi" w:cstheme="majorHAnsi"/>
          <w:color w:val="000000"/>
          <w:sz w:val="23"/>
          <w:szCs w:val="23"/>
        </w:rPr>
        <w:t>. Atrankos procedūros turi būti vykdomos laikantis aukščiausių konfidencialumo reikalavimų</w:t>
      </w:r>
      <w:r w:rsidR="008A6D2E" w:rsidRPr="00B14E52">
        <w:rPr>
          <w:rFonts w:asciiTheme="majorHAnsi" w:hAnsiTheme="majorHAnsi" w:cstheme="majorHAnsi"/>
          <w:color w:val="000000"/>
          <w:sz w:val="23"/>
          <w:szCs w:val="23"/>
        </w:rPr>
        <w:t xml:space="preserve"> ir vadovaujantis asmens duomenų apsaugą reglamentuojančiais teisės </w:t>
      </w:r>
      <w:r w:rsidR="00297A98" w:rsidRPr="00B14E52">
        <w:rPr>
          <w:rFonts w:asciiTheme="majorHAnsi" w:hAnsiTheme="majorHAnsi" w:cstheme="majorHAnsi"/>
          <w:color w:val="000000"/>
          <w:sz w:val="23"/>
          <w:szCs w:val="23"/>
        </w:rPr>
        <w:t>aktais</w:t>
      </w:r>
      <w:r w:rsidRPr="00B14E52">
        <w:rPr>
          <w:rFonts w:asciiTheme="majorHAnsi" w:hAnsiTheme="majorHAnsi" w:cstheme="majorHAnsi"/>
          <w:color w:val="000000"/>
          <w:sz w:val="23"/>
          <w:szCs w:val="23"/>
        </w:rPr>
        <w:t xml:space="preserve">. Informacija apie kandidatą turi būti žinoma tik jam pačiam ir atrankos procedūras vykdantiems asmenims. </w:t>
      </w:r>
    </w:p>
    <w:p w14:paraId="0622A38F" w14:textId="4B1F2779" w:rsidR="008C6059" w:rsidRPr="00B14E52" w:rsidRDefault="008C6059" w:rsidP="00B231EC">
      <w:pPr>
        <w:pStyle w:val="ListParagraph"/>
        <w:numPr>
          <w:ilvl w:val="1"/>
          <w:numId w:val="18"/>
        </w:numPr>
        <w:autoSpaceDE w:val="0"/>
        <w:autoSpaceDN w:val="0"/>
        <w:adjustRightInd w:val="0"/>
        <w:ind w:right="141"/>
        <w:jc w:val="both"/>
        <w:rPr>
          <w:rFonts w:asciiTheme="majorHAnsi" w:hAnsiTheme="majorHAnsi" w:cstheme="majorHAnsi"/>
          <w:color w:val="000000"/>
          <w:sz w:val="23"/>
          <w:szCs w:val="23"/>
        </w:rPr>
      </w:pPr>
      <w:r w:rsidRPr="00B14E52">
        <w:rPr>
          <w:rFonts w:asciiTheme="majorHAnsi" w:hAnsiTheme="majorHAnsi" w:cstheme="majorHAnsi"/>
          <w:b/>
          <w:bCs/>
          <w:color w:val="000000"/>
          <w:sz w:val="23"/>
          <w:szCs w:val="23"/>
        </w:rPr>
        <w:t>Rezultatų viešumas</w:t>
      </w:r>
      <w:r w:rsidRPr="00B14E52">
        <w:rPr>
          <w:rFonts w:asciiTheme="majorHAnsi" w:hAnsiTheme="majorHAnsi" w:cstheme="majorHAnsi"/>
          <w:color w:val="000000"/>
          <w:sz w:val="23"/>
          <w:szCs w:val="23"/>
        </w:rPr>
        <w:t>. Informacija apie atrankos rezultatus (į valdybą skiriamus narius) turi būti išviešinta ir prieinama visoms suinteresuotoms šalims. Viešinant rezultatus</w:t>
      </w:r>
      <w:r w:rsidR="00FA5278" w:rsidRPr="00B14E52">
        <w:rPr>
          <w:rFonts w:asciiTheme="majorHAnsi" w:hAnsiTheme="majorHAnsi" w:cstheme="majorHAnsi"/>
          <w:color w:val="000000"/>
          <w:sz w:val="23"/>
          <w:szCs w:val="23"/>
        </w:rPr>
        <w:t>,</w:t>
      </w:r>
      <w:r w:rsidRPr="00B14E52">
        <w:rPr>
          <w:rFonts w:asciiTheme="majorHAnsi" w:hAnsiTheme="majorHAnsi" w:cstheme="majorHAnsi"/>
          <w:color w:val="000000"/>
          <w:sz w:val="23"/>
          <w:szCs w:val="23"/>
        </w:rPr>
        <w:t xml:space="preserve"> atskleidžiama esminė informacija apie atranką laimėjusius kandidatus bei </w:t>
      </w:r>
      <w:r w:rsidR="00297A98" w:rsidRPr="00B14E52">
        <w:rPr>
          <w:rFonts w:asciiTheme="majorHAnsi" w:hAnsiTheme="majorHAnsi" w:cstheme="majorHAnsi"/>
          <w:color w:val="000000"/>
          <w:sz w:val="23"/>
          <w:szCs w:val="23"/>
        </w:rPr>
        <w:t xml:space="preserve">informuojama </w:t>
      </w:r>
      <w:r w:rsidRPr="00B14E52">
        <w:rPr>
          <w:rFonts w:asciiTheme="majorHAnsi" w:hAnsiTheme="majorHAnsi" w:cstheme="majorHAnsi"/>
          <w:color w:val="000000"/>
          <w:sz w:val="23"/>
          <w:szCs w:val="23"/>
        </w:rPr>
        <w:t xml:space="preserve">apie jų prisijungimą prie </w:t>
      </w:r>
      <w:r w:rsidR="00CB0EEB" w:rsidRPr="00B14E52">
        <w:rPr>
          <w:rFonts w:asciiTheme="majorHAnsi" w:hAnsiTheme="majorHAnsi" w:cstheme="majorHAnsi"/>
          <w:color w:val="000000"/>
          <w:sz w:val="23"/>
          <w:szCs w:val="23"/>
        </w:rPr>
        <w:t>B</w:t>
      </w:r>
      <w:r w:rsidRPr="00B14E52">
        <w:rPr>
          <w:rFonts w:asciiTheme="majorHAnsi" w:hAnsiTheme="majorHAnsi" w:cstheme="majorHAnsi"/>
          <w:color w:val="000000"/>
          <w:sz w:val="23"/>
          <w:szCs w:val="23"/>
        </w:rPr>
        <w:t xml:space="preserve">endrovės valdybos. </w:t>
      </w:r>
    </w:p>
    <w:p w14:paraId="053A3616" w14:textId="1FFD61D3" w:rsidR="00896B07" w:rsidRPr="00B14E52" w:rsidRDefault="00896B07" w:rsidP="00B231EC">
      <w:pPr>
        <w:pStyle w:val="ListParagraph"/>
        <w:numPr>
          <w:ilvl w:val="1"/>
          <w:numId w:val="18"/>
        </w:numPr>
        <w:autoSpaceDE w:val="0"/>
        <w:autoSpaceDN w:val="0"/>
        <w:adjustRightInd w:val="0"/>
        <w:ind w:right="141"/>
        <w:jc w:val="both"/>
        <w:rPr>
          <w:rFonts w:asciiTheme="majorHAnsi" w:hAnsiTheme="majorHAnsi" w:cstheme="majorHAnsi"/>
          <w:color w:val="000000"/>
          <w:sz w:val="23"/>
          <w:szCs w:val="23"/>
        </w:rPr>
      </w:pPr>
      <w:r w:rsidRPr="00B14E52">
        <w:rPr>
          <w:rFonts w:asciiTheme="majorHAnsi" w:hAnsiTheme="majorHAnsi" w:cstheme="majorHAnsi"/>
          <w:b/>
          <w:bCs/>
          <w:color w:val="000000"/>
          <w:sz w:val="23"/>
          <w:szCs w:val="23"/>
        </w:rPr>
        <w:t xml:space="preserve">Supažindinimas/įvedimas </w:t>
      </w:r>
      <w:r w:rsidRPr="00B231EC">
        <w:rPr>
          <w:rFonts w:asciiTheme="majorHAnsi" w:hAnsiTheme="majorHAnsi" w:cstheme="majorHAnsi"/>
          <w:color w:val="000000"/>
          <w:sz w:val="23"/>
          <w:szCs w:val="23"/>
        </w:rPr>
        <w:t>(angl.</w:t>
      </w:r>
      <w:r w:rsidRPr="00B14E52">
        <w:rPr>
          <w:rFonts w:asciiTheme="majorHAnsi" w:hAnsiTheme="majorHAnsi" w:cstheme="majorHAnsi"/>
          <w:color w:val="000000"/>
          <w:sz w:val="23"/>
          <w:szCs w:val="23"/>
        </w:rPr>
        <w:t xml:space="preserve"> </w:t>
      </w:r>
      <w:proofErr w:type="spellStart"/>
      <w:r w:rsidRPr="00B231EC">
        <w:rPr>
          <w:rFonts w:asciiTheme="majorHAnsi" w:hAnsiTheme="majorHAnsi" w:cstheme="majorHAnsi"/>
          <w:i/>
          <w:iCs/>
          <w:color w:val="000000"/>
          <w:sz w:val="23"/>
          <w:szCs w:val="23"/>
        </w:rPr>
        <w:t>onboarding</w:t>
      </w:r>
      <w:proofErr w:type="spellEnd"/>
      <w:r w:rsidRPr="00B14E52">
        <w:rPr>
          <w:rFonts w:asciiTheme="majorHAnsi" w:hAnsiTheme="majorHAnsi" w:cstheme="majorHAnsi"/>
          <w:color w:val="000000"/>
          <w:sz w:val="23"/>
          <w:szCs w:val="23"/>
        </w:rPr>
        <w:t xml:space="preserve">). Bendrovė privalo užtikrinti, kad naujai atrinktai valdybai ar jos nariui bus sudarytos visos sąlygos ir suteikta visa reikalinga pagalba bei informacija, kad jis kuo greičiau susipažintų su </w:t>
      </w:r>
      <w:r w:rsidR="00962052" w:rsidRPr="00B14E52">
        <w:rPr>
          <w:rFonts w:asciiTheme="majorHAnsi" w:hAnsiTheme="majorHAnsi" w:cstheme="majorHAnsi"/>
          <w:color w:val="000000"/>
          <w:sz w:val="23"/>
          <w:szCs w:val="23"/>
        </w:rPr>
        <w:t>Bendrovės</w:t>
      </w:r>
      <w:r w:rsidRPr="00B14E52">
        <w:rPr>
          <w:rFonts w:asciiTheme="majorHAnsi" w:hAnsiTheme="majorHAnsi" w:cstheme="majorHAnsi"/>
          <w:color w:val="000000"/>
          <w:sz w:val="23"/>
          <w:szCs w:val="23"/>
        </w:rPr>
        <w:t xml:space="preserve"> veikla, veiklos aplinka ir kita informacija, reikalinga efektyviam darbui. </w:t>
      </w:r>
    </w:p>
    <w:p w14:paraId="11810EF1" w14:textId="77777777" w:rsidR="00EB7C12" w:rsidRPr="00B14E52" w:rsidRDefault="00EB7C12" w:rsidP="00B231EC">
      <w:pPr>
        <w:tabs>
          <w:tab w:val="left" w:pos="1134"/>
        </w:tabs>
        <w:spacing w:after="0" w:line="240" w:lineRule="auto"/>
        <w:ind w:right="141"/>
        <w:jc w:val="both"/>
        <w:rPr>
          <w:rFonts w:asciiTheme="majorHAnsi" w:hAnsiTheme="majorHAnsi" w:cstheme="majorHAnsi"/>
          <w:sz w:val="23"/>
          <w:szCs w:val="23"/>
          <w:lang w:val="lt-LT"/>
        </w:rPr>
      </w:pPr>
    </w:p>
    <w:p w14:paraId="26C60279" w14:textId="262D4CB4" w:rsidR="007D0346" w:rsidRPr="00B14E52" w:rsidRDefault="00962052" w:rsidP="00B85AFA">
      <w:pPr>
        <w:pStyle w:val="ListParagraph"/>
        <w:numPr>
          <w:ilvl w:val="0"/>
          <w:numId w:val="18"/>
        </w:numPr>
        <w:tabs>
          <w:tab w:val="left" w:pos="1134"/>
        </w:tabs>
        <w:ind w:left="567" w:right="141" w:hanging="567"/>
        <w:jc w:val="both"/>
        <w:rPr>
          <w:rFonts w:asciiTheme="majorHAnsi" w:hAnsiTheme="majorHAnsi" w:cstheme="majorHAnsi"/>
          <w:b/>
          <w:sz w:val="23"/>
          <w:szCs w:val="23"/>
        </w:rPr>
      </w:pPr>
      <w:r w:rsidRPr="00B14E52">
        <w:rPr>
          <w:rFonts w:asciiTheme="majorHAnsi" w:hAnsiTheme="majorHAnsi" w:cstheme="majorHAnsi"/>
          <w:b/>
          <w:sz w:val="23"/>
          <w:szCs w:val="23"/>
        </w:rPr>
        <w:t>BENDROVĖS IR VALDYBOS ĮSITRAUKIMAS</w:t>
      </w:r>
      <w:r w:rsidR="00A27140" w:rsidRPr="00B14E52">
        <w:rPr>
          <w:rFonts w:asciiTheme="majorHAnsi" w:hAnsiTheme="majorHAnsi" w:cstheme="majorHAnsi"/>
          <w:b/>
          <w:sz w:val="23"/>
          <w:szCs w:val="23"/>
        </w:rPr>
        <w:t xml:space="preserve"> </w:t>
      </w:r>
      <w:r w:rsidRPr="00B14E52">
        <w:rPr>
          <w:rFonts w:asciiTheme="majorHAnsi" w:hAnsiTheme="majorHAnsi" w:cstheme="majorHAnsi"/>
          <w:b/>
          <w:sz w:val="23"/>
          <w:szCs w:val="23"/>
        </w:rPr>
        <w:t xml:space="preserve">VALDYBOS </w:t>
      </w:r>
      <w:r w:rsidR="00986FFB">
        <w:rPr>
          <w:rFonts w:asciiTheme="majorHAnsi" w:hAnsiTheme="majorHAnsi" w:cstheme="majorHAnsi"/>
          <w:b/>
          <w:sz w:val="23"/>
          <w:szCs w:val="23"/>
        </w:rPr>
        <w:t>FORMAVIMO</w:t>
      </w:r>
      <w:r w:rsidRPr="00B14E52">
        <w:rPr>
          <w:rFonts w:asciiTheme="majorHAnsi" w:hAnsiTheme="majorHAnsi" w:cstheme="majorHAnsi"/>
          <w:b/>
          <w:sz w:val="23"/>
          <w:szCs w:val="23"/>
        </w:rPr>
        <w:t xml:space="preserve"> PROCESE </w:t>
      </w:r>
    </w:p>
    <w:p w14:paraId="291276F0" w14:textId="39DF2A28" w:rsidR="00421462" w:rsidRDefault="00CC6BA0" w:rsidP="00B85AFA">
      <w:pPr>
        <w:pStyle w:val="ListParagraph"/>
        <w:numPr>
          <w:ilvl w:val="1"/>
          <w:numId w:val="18"/>
        </w:numPr>
        <w:ind w:right="141"/>
        <w:jc w:val="both"/>
        <w:rPr>
          <w:rFonts w:asciiTheme="majorHAnsi" w:hAnsiTheme="majorHAnsi" w:cstheme="majorHAnsi"/>
          <w:sz w:val="23"/>
          <w:szCs w:val="23"/>
        </w:rPr>
      </w:pPr>
      <w:r w:rsidRPr="00B85AFA">
        <w:rPr>
          <w:rFonts w:asciiTheme="majorHAnsi" w:hAnsiTheme="majorHAnsi" w:cstheme="majorHAnsi"/>
          <w:sz w:val="23"/>
          <w:szCs w:val="23"/>
        </w:rPr>
        <w:t xml:space="preserve">Viena </w:t>
      </w:r>
      <w:r w:rsidR="006E5799">
        <w:rPr>
          <w:rFonts w:asciiTheme="majorHAnsi" w:hAnsiTheme="majorHAnsi" w:cstheme="majorHAnsi"/>
          <w:sz w:val="23"/>
          <w:szCs w:val="23"/>
        </w:rPr>
        <w:t>iš svarbiausi</w:t>
      </w:r>
      <w:r w:rsidRPr="00B85AFA">
        <w:rPr>
          <w:rFonts w:asciiTheme="majorHAnsi" w:hAnsiTheme="majorHAnsi" w:cstheme="majorHAnsi"/>
          <w:sz w:val="23"/>
          <w:szCs w:val="23"/>
        </w:rPr>
        <w:t>ų Valdybos funkcijų yra Bendrovės strategijos</w:t>
      </w:r>
      <w:r w:rsidR="009A6467" w:rsidRPr="00B85AFA">
        <w:rPr>
          <w:rFonts w:asciiTheme="majorHAnsi" w:hAnsiTheme="majorHAnsi" w:cstheme="majorHAnsi"/>
          <w:sz w:val="23"/>
          <w:szCs w:val="23"/>
        </w:rPr>
        <w:t>, strateginių tikslų</w:t>
      </w:r>
      <w:r w:rsidRPr="00B85AFA">
        <w:rPr>
          <w:rFonts w:asciiTheme="majorHAnsi" w:hAnsiTheme="majorHAnsi" w:cstheme="majorHAnsi"/>
          <w:sz w:val="23"/>
          <w:szCs w:val="23"/>
        </w:rPr>
        <w:t xml:space="preserve"> svarstymas ir tvirtinimas</w:t>
      </w:r>
      <w:r w:rsidR="0026669F" w:rsidRPr="00B85AFA">
        <w:rPr>
          <w:rFonts w:asciiTheme="majorHAnsi" w:hAnsiTheme="majorHAnsi" w:cstheme="majorHAnsi"/>
          <w:sz w:val="23"/>
          <w:szCs w:val="23"/>
        </w:rPr>
        <w:t>, įgyvendinimo priežiūra</w:t>
      </w:r>
      <w:r w:rsidR="005F4970">
        <w:rPr>
          <w:rFonts w:asciiTheme="majorHAnsi" w:hAnsiTheme="majorHAnsi" w:cstheme="majorHAnsi"/>
          <w:sz w:val="23"/>
          <w:szCs w:val="23"/>
        </w:rPr>
        <w:t xml:space="preserve"> </w:t>
      </w:r>
      <w:r w:rsidR="00C72786">
        <w:rPr>
          <w:rFonts w:asciiTheme="majorHAnsi" w:hAnsiTheme="majorHAnsi" w:cstheme="majorHAnsi"/>
          <w:sz w:val="23"/>
          <w:szCs w:val="23"/>
        </w:rPr>
        <w:t>(</w:t>
      </w:r>
      <w:r w:rsidR="005F4970">
        <w:rPr>
          <w:rFonts w:asciiTheme="majorHAnsi" w:hAnsiTheme="majorHAnsi" w:cstheme="majorHAnsi"/>
          <w:sz w:val="23"/>
          <w:szCs w:val="23"/>
        </w:rPr>
        <w:t>atliekama</w:t>
      </w:r>
      <w:r w:rsidR="0026669F" w:rsidRPr="00B85AFA">
        <w:rPr>
          <w:rFonts w:asciiTheme="majorHAnsi" w:hAnsiTheme="majorHAnsi" w:cstheme="majorHAnsi"/>
          <w:sz w:val="23"/>
          <w:szCs w:val="23"/>
        </w:rPr>
        <w:t xml:space="preserve"> ne rečiau kaip kartą per metus</w:t>
      </w:r>
      <w:r w:rsidR="00C72786">
        <w:rPr>
          <w:rFonts w:asciiTheme="majorHAnsi" w:hAnsiTheme="majorHAnsi" w:cstheme="majorHAnsi"/>
          <w:sz w:val="23"/>
          <w:szCs w:val="23"/>
        </w:rPr>
        <w:t>)</w:t>
      </w:r>
      <w:r w:rsidR="00CD2AA1" w:rsidRPr="00CD2AA1">
        <w:rPr>
          <w:rFonts w:asciiTheme="majorHAnsi" w:hAnsiTheme="majorHAnsi" w:cstheme="majorHAnsi"/>
          <w:sz w:val="23"/>
          <w:szCs w:val="23"/>
        </w:rPr>
        <w:t xml:space="preserve"> ir</w:t>
      </w:r>
      <w:r w:rsidR="009A6467" w:rsidRPr="00B85AFA">
        <w:rPr>
          <w:rFonts w:asciiTheme="majorHAnsi" w:hAnsiTheme="majorHAnsi" w:cstheme="majorHAnsi"/>
          <w:sz w:val="23"/>
          <w:szCs w:val="23"/>
        </w:rPr>
        <w:t xml:space="preserve"> esant poreikiui - koregavimas</w:t>
      </w:r>
      <w:r w:rsidR="0026669F" w:rsidRPr="00B85AFA">
        <w:rPr>
          <w:rFonts w:asciiTheme="majorHAnsi" w:hAnsiTheme="majorHAnsi" w:cstheme="majorHAnsi"/>
          <w:sz w:val="23"/>
          <w:szCs w:val="23"/>
        </w:rPr>
        <w:t>.</w:t>
      </w:r>
      <w:r w:rsidR="009A6467" w:rsidRPr="00B85AFA">
        <w:rPr>
          <w:rFonts w:asciiTheme="majorHAnsi" w:hAnsiTheme="majorHAnsi" w:cstheme="majorHAnsi"/>
          <w:sz w:val="23"/>
          <w:szCs w:val="23"/>
        </w:rPr>
        <w:t xml:space="preserve"> Veikianti valdyba kasmet pasibaigus finansiniams metams, ne vėliau kaip iki eilinio visuotinio akcininkų susirinkimo, vadovaudamasi </w:t>
      </w:r>
      <w:hyperlink r:id="rId13" w:history="1">
        <w:r w:rsidR="009A6467" w:rsidRPr="00B85AFA">
          <w:rPr>
            <w:rStyle w:val="Hyperlink"/>
            <w:rFonts w:asciiTheme="majorHAnsi" w:hAnsiTheme="majorHAnsi" w:cstheme="majorHAnsi"/>
            <w:sz w:val="23"/>
            <w:szCs w:val="23"/>
          </w:rPr>
          <w:t>Valdybos savo veiklos vertinimo gairėmis</w:t>
        </w:r>
      </w:hyperlink>
      <w:r w:rsidR="009A6467" w:rsidRPr="00B85AFA">
        <w:rPr>
          <w:rFonts w:asciiTheme="majorHAnsi" w:hAnsiTheme="majorHAnsi" w:cstheme="majorHAnsi"/>
          <w:sz w:val="23"/>
          <w:szCs w:val="23"/>
        </w:rPr>
        <w:t xml:space="preserve"> atlieka savo veiklos vertinimą, identifikuoja, kurios reikalingos žinios ir kompetencijos visos valdybos apimtyje yra pakankamos ir kurių trūksta, kad </w:t>
      </w:r>
      <w:r w:rsidR="00CD2AA1" w:rsidRPr="00B85AFA">
        <w:rPr>
          <w:rFonts w:asciiTheme="majorHAnsi" w:hAnsiTheme="majorHAnsi" w:cstheme="majorHAnsi"/>
          <w:sz w:val="23"/>
          <w:szCs w:val="23"/>
        </w:rPr>
        <w:t>Bendrov</w:t>
      </w:r>
      <w:r w:rsidR="009A6467" w:rsidRPr="00B85AFA">
        <w:rPr>
          <w:rFonts w:asciiTheme="majorHAnsi" w:hAnsiTheme="majorHAnsi" w:cstheme="majorHAnsi"/>
          <w:sz w:val="23"/>
          <w:szCs w:val="23"/>
        </w:rPr>
        <w:t xml:space="preserve">ės </w:t>
      </w:r>
      <w:r w:rsidR="009A6467" w:rsidRPr="00B85AFA">
        <w:rPr>
          <w:rFonts w:asciiTheme="majorHAnsi" w:hAnsiTheme="majorHAnsi" w:cstheme="majorHAnsi"/>
          <w:sz w:val="23"/>
          <w:szCs w:val="23"/>
        </w:rPr>
        <w:lastRenderedPageBreak/>
        <w:t>veikla ir plėtra būtų tinkama</w:t>
      </w:r>
      <w:r w:rsidR="00421462">
        <w:rPr>
          <w:rFonts w:asciiTheme="majorHAnsi" w:hAnsiTheme="majorHAnsi" w:cstheme="majorHAnsi"/>
          <w:sz w:val="23"/>
          <w:szCs w:val="23"/>
        </w:rPr>
        <w:t>, Bendrovė įgyvendintų strateginius tikslus</w:t>
      </w:r>
      <w:r w:rsidR="009A6467" w:rsidRPr="00B85AFA">
        <w:rPr>
          <w:rFonts w:asciiTheme="majorHAnsi" w:hAnsiTheme="majorHAnsi" w:cstheme="majorHAnsi"/>
          <w:sz w:val="23"/>
          <w:szCs w:val="23"/>
        </w:rPr>
        <w:t xml:space="preserve"> ir </w:t>
      </w:r>
      <w:r w:rsidR="00421462">
        <w:rPr>
          <w:rFonts w:asciiTheme="majorHAnsi" w:hAnsiTheme="majorHAnsi" w:cstheme="majorHAnsi"/>
          <w:sz w:val="23"/>
          <w:szCs w:val="23"/>
        </w:rPr>
        <w:t xml:space="preserve">Bendrovės </w:t>
      </w:r>
      <w:r w:rsidR="009A6467" w:rsidRPr="00B85AFA">
        <w:rPr>
          <w:rFonts w:asciiTheme="majorHAnsi" w:hAnsiTheme="majorHAnsi" w:cstheme="majorHAnsi"/>
          <w:sz w:val="23"/>
          <w:szCs w:val="23"/>
        </w:rPr>
        <w:t xml:space="preserve">valdysenos procesai atitiktų geriausias praktikas. Šiam tikslui </w:t>
      </w:r>
      <w:r w:rsidR="006E5799">
        <w:rPr>
          <w:rFonts w:asciiTheme="majorHAnsi" w:hAnsiTheme="majorHAnsi" w:cstheme="majorHAnsi"/>
          <w:sz w:val="23"/>
          <w:szCs w:val="23"/>
        </w:rPr>
        <w:t>naudojama</w:t>
      </w:r>
      <w:r w:rsidR="009A6467" w:rsidRPr="00B85AFA">
        <w:rPr>
          <w:rFonts w:asciiTheme="majorHAnsi" w:hAnsiTheme="majorHAnsi" w:cstheme="majorHAnsi"/>
          <w:sz w:val="23"/>
          <w:szCs w:val="23"/>
        </w:rPr>
        <w:t xml:space="preserve"> valdybos kompetencijų matric</w:t>
      </w:r>
      <w:r w:rsidR="006E5799">
        <w:rPr>
          <w:rFonts w:asciiTheme="majorHAnsi" w:hAnsiTheme="majorHAnsi" w:cstheme="majorHAnsi"/>
          <w:sz w:val="23"/>
          <w:szCs w:val="23"/>
        </w:rPr>
        <w:t>a</w:t>
      </w:r>
      <w:r w:rsidR="009A6467" w:rsidRPr="00B85AFA">
        <w:rPr>
          <w:rFonts w:asciiTheme="majorHAnsi" w:hAnsiTheme="majorHAnsi" w:cstheme="majorHAnsi"/>
          <w:sz w:val="23"/>
          <w:szCs w:val="23"/>
        </w:rPr>
        <w:t xml:space="preserve"> (</w:t>
      </w:r>
      <w:r w:rsidR="00421462">
        <w:rPr>
          <w:rFonts w:asciiTheme="majorHAnsi" w:hAnsiTheme="majorHAnsi" w:cstheme="majorHAnsi"/>
          <w:sz w:val="23"/>
          <w:szCs w:val="23"/>
        </w:rPr>
        <w:t xml:space="preserve">pavyzdinė </w:t>
      </w:r>
      <w:r w:rsidR="00C72786">
        <w:rPr>
          <w:rFonts w:asciiTheme="majorHAnsi" w:hAnsiTheme="majorHAnsi" w:cstheme="majorHAnsi"/>
          <w:sz w:val="23"/>
          <w:szCs w:val="23"/>
        </w:rPr>
        <w:t>forma</w:t>
      </w:r>
      <w:r w:rsidR="00421462">
        <w:rPr>
          <w:rFonts w:asciiTheme="majorHAnsi" w:hAnsiTheme="majorHAnsi" w:cstheme="majorHAnsi"/>
          <w:sz w:val="23"/>
          <w:szCs w:val="23"/>
        </w:rPr>
        <w:t xml:space="preserve"> pridedama</w:t>
      </w:r>
      <w:r w:rsidR="009A6467" w:rsidRPr="00B85AFA">
        <w:rPr>
          <w:rFonts w:asciiTheme="majorHAnsi" w:hAnsiTheme="majorHAnsi" w:cstheme="majorHAnsi"/>
          <w:sz w:val="23"/>
          <w:szCs w:val="23"/>
        </w:rPr>
        <w:t>), kur</w:t>
      </w:r>
      <w:r w:rsidR="00421462">
        <w:rPr>
          <w:rFonts w:asciiTheme="majorHAnsi" w:hAnsiTheme="majorHAnsi" w:cstheme="majorHAnsi"/>
          <w:sz w:val="23"/>
          <w:szCs w:val="23"/>
        </w:rPr>
        <w:t>ioje</w:t>
      </w:r>
      <w:r w:rsidR="009A6467" w:rsidRPr="00B85AFA">
        <w:rPr>
          <w:rFonts w:asciiTheme="majorHAnsi" w:hAnsiTheme="majorHAnsi" w:cstheme="majorHAnsi"/>
          <w:sz w:val="23"/>
          <w:szCs w:val="23"/>
        </w:rPr>
        <w:t xml:space="preserve"> nustatomas bendras reikiamų valdyboje kompetencijų sąrašas ir pažymima</w:t>
      </w:r>
      <w:r w:rsidR="00421462">
        <w:rPr>
          <w:rFonts w:asciiTheme="majorHAnsi" w:hAnsiTheme="majorHAnsi" w:cstheme="majorHAnsi"/>
          <w:sz w:val="23"/>
          <w:szCs w:val="23"/>
        </w:rPr>
        <w:t>,</w:t>
      </w:r>
      <w:r w:rsidR="009A6467" w:rsidRPr="00B85AFA">
        <w:rPr>
          <w:rFonts w:asciiTheme="majorHAnsi" w:hAnsiTheme="majorHAnsi" w:cstheme="majorHAnsi"/>
          <w:sz w:val="23"/>
          <w:szCs w:val="23"/>
        </w:rPr>
        <w:t xml:space="preserve"> kurie nariai turi kokias kompetencijas. </w:t>
      </w:r>
      <w:r w:rsidR="00592859">
        <w:rPr>
          <w:rFonts w:asciiTheme="majorHAnsi" w:hAnsiTheme="majorHAnsi" w:cstheme="majorHAnsi"/>
          <w:sz w:val="23"/>
          <w:szCs w:val="23"/>
        </w:rPr>
        <w:t>Valdyba, savo veiklos įsivertinimo metu nustačiusi, jog valdybai trūksta tam tikrų kompetencijų, apie tai informuoja akcininkus.</w:t>
      </w:r>
    </w:p>
    <w:p w14:paraId="335D11B6" w14:textId="36E55572" w:rsidR="006E5799" w:rsidRPr="006E5799" w:rsidRDefault="006E5799" w:rsidP="006E5799">
      <w:pPr>
        <w:pStyle w:val="ListParagraph"/>
        <w:numPr>
          <w:ilvl w:val="1"/>
          <w:numId w:val="18"/>
        </w:numPr>
        <w:ind w:right="141"/>
        <w:jc w:val="both"/>
        <w:rPr>
          <w:rFonts w:asciiTheme="majorHAnsi" w:hAnsiTheme="majorHAnsi" w:cstheme="majorHAnsi"/>
          <w:sz w:val="23"/>
          <w:szCs w:val="23"/>
        </w:rPr>
      </w:pPr>
      <w:r w:rsidRPr="006E5799">
        <w:rPr>
          <w:rFonts w:asciiTheme="majorHAnsi" w:hAnsiTheme="majorHAnsi" w:cstheme="majorHAnsi"/>
          <w:sz w:val="23"/>
          <w:szCs w:val="23"/>
        </w:rPr>
        <w:t xml:space="preserve">Valdybos kompetencijų matrica ypač naudinga iš valdybos pasitraukus pavieniams valdybos nariams, kadangi padeda identifikuoti, kokių kompetencijų valdyba neteko ir kokių </w:t>
      </w:r>
      <w:r>
        <w:rPr>
          <w:rFonts w:asciiTheme="majorHAnsi" w:hAnsiTheme="majorHAnsi" w:cstheme="majorHAnsi"/>
          <w:sz w:val="23"/>
          <w:szCs w:val="23"/>
        </w:rPr>
        <w:t xml:space="preserve">kompetencijų </w:t>
      </w:r>
      <w:r w:rsidRPr="006E5799">
        <w:rPr>
          <w:rFonts w:asciiTheme="majorHAnsi" w:hAnsiTheme="majorHAnsi" w:cstheme="majorHAnsi"/>
          <w:sz w:val="23"/>
          <w:szCs w:val="23"/>
        </w:rPr>
        <w:t>turi būti ieškoma.</w:t>
      </w:r>
    </w:p>
    <w:p w14:paraId="6C2856C3" w14:textId="05DDBDE4" w:rsidR="00A8510B" w:rsidRDefault="006E5799" w:rsidP="006E5799">
      <w:pPr>
        <w:pStyle w:val="ListParagraph"/>
        <w:numPr>
          <w:ilvl w:val="1"/>
          <w:numId w:val="18"/>
        </w:numPr>
        <w:ind w:right="141"/>
        <w:jc w:val="both"/>
        <w:rPr>
          <w:rFonts w:asciiTheme="majorHAnsi" w:hAnsiTheme="majorHAnsi" w:cstheme="majorHAnsi"/>
          <w:sz w:val="23"/>
          <w:szCs w:val="23"/>
        </w:rPr>
      </w:pPr>
      <w:r w:rsidRPr="006E5799">
        <w:rPr>
          <w:rFonts w:asciiTheme="majorHAnsi" w:hAnsiTheme="majorHAnsi" w:cstheme="majorHAnsi"/>
          <w:sz w:val="23"/>
          <w:szCs w:val="23"/>
        </w:rPr>
        <w:t>Atrankos apraše numatyta svarbi Bendrovės funkcija atrankos procese - dalyvauti valdybai reikalingų kompetencijos sričių ir specialiųjų reikalavimų kandidatams nustatyme, kurį organizuoja Atranką inicijuojantis subjektas</w:t>
      </w:r>
      <w:r w:rsidR="005A76B6">
        <w:rPr>
          <w:rFonts w:asciiTheme="majorHAnsi" w:hAnsiTheme="majorHAnsi" w:cstheme="majorHAnsi"/>
          <w:sz w:val="23"/>
          <w:szCs w:val="23"/>
        </w:rPr>
        <w:t>, š</w:t>
      </w:r>
      <w:r w:rsidR="00A8510B">
        <w:rPr>
          <w:rFonts w:asciiTheme="majorHAnsi" w:hAnsiTheme="majorHAnsi" w:cstheme="majorHAnsi"/>
          <w:sz w:val="23"/>
          <w:szCs w:val="23"/>
        </w:rPr>
        <w:t xml:space="preserve">iame etape tikslinga vadovautis atnaujinta valdybos kompetencijų matrica. Valdybos formavimo procese </w:t>
      </w:r>
      <w:r w:rsidR="00A8510B" w:rsidRPr="00A8510B">
        <w:rPr>
          <w:rFonts w:asciiTheme="majorHAnsi" w:hAnsiTheme="majorHAnsi" w:cstheme="majorHAnsi"/>
          <w:sz w:val="23"/>
          <w:szCs w:val="23"/>
        </w:rPr>
        <w:t>valdybos kompetencijų matrica leidžia identifikuoti, kokių kompetencijų valdybai reikia</w:t>
      </w:r>
      <w:r w:rsidR="00592859">
        <w:rPr>
          <w:rFonts w:asciiTheme="majorHAnsi" w:hAnsiTheme="majorHAnsi" w:cstheme="majorHAnsi"/>
          <w:sz w:val="23"/>
          <w:szCs w:val="23"/>
        </w:rPr>
        <w:t xml:space="preserve"> ir</w:t>
      </w:r>
      <w:r w:rsidR="00A8510B" w:rsidRPr="00A8510B">
        <w:rPr>
          <w:rFonts w:asciiTheme="majorHAnsi" w:hAnsiTheme="majorHAnsi" w:cstheme="majorHAnsi"/>
          <w:sz w:val="23"/>
          <w:szCs w:val="23"/>
        </w:rPr>
        <w:t xml:space="preserve"> kurias iš jų gali užtikrinti iš valstybės tarnautojų paskiriami valdybos nariai, o kurias reikalingas kompetencijas turėtų užtikrinti nepriklausomi valdybos nariai.</w:t>
      </w:r>
    </w:p>
    <w:p w14:paraId="59ACE81C" w14:textId="72F40DA7" w:rsidR="00E051EB" w:rsidRPr="00592859" w:rsidRDefault="00622966" w:rsidP="00592859">
      <w:pPr>
        <w:pStyle w:val="ListParagraph"/>
        <w:numPr>
          <w:ilvl w:val="1"/>
          <w:numId w:val="18"/>
        </w:numPr>
        <w:tabs>
          <w:tab w:val="left" w:pos="993"/>
          <w:tab w:val="left" w:pos="1134"/>
        </w:tabs>
        <w:ind w:right="141"/>
        <w:jc w:val="both"/>
        <w:rPr>
          <w:rFonts w:asciiTheme="majorHAnsi" w:hAnsiTheme="majorHAnsi" w:cstheme="majorHAnsi"/>
          <w:sz w:val="23"/>
          <w:szCs w:val="23"/>
        </w:rPr>
      </w:pPr>
      <w:r w:rsidRPr="00F05B18">
        <w:rPr>
          <w:rFonts w:asciiTheme="majorHAnsi" w:hAnsiTheme="majorHAnsi" w:cstheme="majorHAnsi"/>
          <w:sz w:val="23"/>
          <w:szCs w:val="23"/>
        </w:rPr>
        <w:t>Atrankos apraše Bendrovei yra numatyta pareiga dalyvauti atrankos skelbime nurodytinų duomenų suformulavimo procese, kurį organizuoja Atranką inicijuojantis subjektas.</w:t>
      </w:r>
      <w:r w:rsidR="00592859">
        <w:rPr>
          <w:rFonts w:asciiTheme="majorHAnsi" w:hAnsiTheme="majorHAnsi" w:cstheme="majorHAnsi"/>
          <w:sz w:val="23"/>
          <w:szCs w:val="23"/>
        </w:rPr>
        <w:t xml:space="preserve"> </w:t>
      </w:r>
      <w:r w:rsidR="00205C1F" w:rsidRPr="00592859">
        <w:rPr>
          <w:rFonts w:asciiTheme="majorHAnsi" w:hAnsiTheme="majorHAnsi" w:cstheme="majorHAnsi"/>
          <w:sz w:val="23"/>
          <w:szCs w:val="23"/>
        </w:rPr>
        <w:t xml:space="preserve">Atrankos skelbime turi būti pateikiama Apraše nurodyta informacija, tačiau Bendrovė turi teisę siūlyti Atranką organizuojančiam subjektui atrankos skelbimą papildyti </w:t>
      </w:r>
      <w:r w:rsidR="00386073" w:rsidRPr="00592859">
        <w:rPr>
          <w:rFonts w:asciiTheme="majorHAnsi" w:hAnsiTheme="majorHAnsi" w:cstheme="majorHAnsi"/>
          <w:sz w:val="23"/>
          <w:szCs w:val="23"/>
        </w:rPr>
        <w:t>ir kita svarbia</w:t>
      </w:r>
      <w:r w:rsidR="00205C1F" w:rsidRPr="00592859">
        <w:rPr>
          <w:rFonts w:asciiTheme="majorHAnsi" w:hAnsiTheme="majorHAnsi" w:cstheme="majorHAnsi"/>
          <w:sz w:val="23"/>
          <w:szCs w:val="23"/>
        </w:rPr>
        <w:t xml:space="preserve"> informacija, kuri būtų </w:t>
      </w:r>
      <w:r w:rsidR="001112E3">
        <w:rPr>
          <w:rFonts w:asciiTheme="majorHAnsi" w:hAnsiTheme="majorHAnsi" w:cstheme="majorHAnsi"/>
          <w:sz w:val="23"/>
          <w:szCs w:val="23"/>
        </w:rPr>
        <w:t>aktuali</w:t>
      </w:r>
      <w:r w:rsidR="00205C1F" w:rsidRPr="00592859">
        <w:rPr>
          <w:rFonts w:asciiTheme="majorHAnsi" w:hAnsiTheme="majorHAnsi" w:cstheme="majorHAnsi"/>
          <w:sz w:val="23"/>
          <w:szCs w:val="23"/>
        </w:rPr>
        <w:t xml:space="preserve"> kandidatui. </w:t>
      </w:r>
    </w:p>
    <w:p w14:paraId="6E8DEB38" w14:textId="6B8C22DA" w:rsidR="00205C1F" w:rsidRPr="00B14E52" w:rsidRDefault="00205C1F" w:rsidP="00B85AFA">
      <w:pPr>
        <w:pStyle w:val="ListParagraph"/>
        <w:numPr>
          <w:ilvl w:val="1"/>
          <w:numId w:val="18"/>
        </w:numPr>
        <w:ind w:right="141"/>
        <w:jc w:val="both"/>
        <w:rPr>
          <w:rFonts w:asciiTheme="majorHAnsi" w:hAnsiTheme="majorHAnsi" w:cstheme="majorHAnsi"/>
          <w:sz w:val="23"/>
          <w:szCs w:val="23"/>
        </w:rPr>
      </w:pPr>
      <w:r w:rsidRPr="00B14E52">
        <w:rPr>
          <w:rFonts w:asciiTheme="majorHAnsi" w:hAnsiTheme="majorHAnsi" w:cstheme="majorHAnsi"/>
          <w:sz w:val="23"/>
          <w:szCs w:val="23"/>
        </w:rPr>
        <w:t>Atranką inicijuojančio subjekto parengtą skelbimą apie vykdomą atranką</w:t>
      </w:r>
      <w:r w:rsidR="00927745">
        <w:rPr>
          <w:rFonts w:asciiTheme="majorHAnsi" w:hAnsiTheme="majorHAnsi" w:cstheme="majorHAnsi"/>
          <w:sz w:val="23"/>
          <w:szCs w:val="23"/>
        </w:rPr>
        <w:t xml:space="preserve"> Bendrovė turi</w:t>
      </w:r>
      <w:r w:rsidRPr="00B14E52">
        <w:rPr>
          <w:rFonts w:asciiTheme="majorHAnsi" w:hAnsiTheme="majorHAnsi" w:cstheme="majorHAnsi"/>
          <w:sz w:val="23"/>
          <w:szCs w:val="23"/>
        </w:rPr>
        <w:t xml:space="preserve"> paskelbti elektroniniame leidinyje viešiems pranešimams skelbti, kurį Vyriausybės nustatyta tvarka leidžia juridinių asmenų registras</w:t>
      </w:r>
      <w:r w:rsidR="00E051EB" w:rsidRPr="00B14E52">
        <w:rPr>
          <w:rFonts w:asciiTheme="majorHAnsi" w:hAnsiTheme="majorHAnsi" w:cstheme="majorHAnsi"/>
          <w:sz w:val="23"/>
          <w:szCs w:val="23"/>
        </w:rPr>
        <w:t xml:space="preserve">, taip pat </w:t>
      </w:r>
      <w:r w:rsidRPr="00B14E52">
        <w:rPr>
          <w:rFonts w:asciiTheme="majorHAnsi" w:hAnsiTheme="majorHAnsi" w:cstheme="majorHAnsi"/>
          <w:sz w:val="23"/>
          <w:szCs w:val="23"/>
        </w:rPr>
        <w:t>Bendrovės interneto svetainėje.</w:t>
      </w:r>
    </w:p>
    <w:p w14:paraId="7DB9FC44" w14:textId="63F42F6C" w:rsidR="00C35EEF" w:rsidRPr="00B14E52" w:rsidRDefault="00C35EEF" w:rsidP="00B85AFA">
      <w:pPr>
        <w:pStyle w:val="ListParagraph"/>
        <w:numPr>
          <w:ilvl w:val="1"/>
          <w:numId w:val="18"/>
        </w:numPr>
        <w:tabs>
          <w:tab w:val="left" w:pos="1134"/>
        </w:tabs>
        <w:ind w:right="141"/>
        <w:jc w:val="both"/>
        <w:rPr>
          <w:rFonts w:asciiTheme="majorHAnsi" w:hAnsiTheme="majorHAnsi" w:cstheme="majorHAnsi"/>
          <w:sz w:val="23"/>
          <w:szCs w:val="23"/>
        </w:rPr>
      </w:pPr>
      <w:r w:rsidRPr="00B14E52">
        <w:rPr>
          <w:rFonts w:asciiTheme="majorHAnsi" w:hAnsiTheme="majorHAnsi" w:cstheme="majorHAnsi"/>
          <w:sz w:val="23"/>
          <w:szCs w:val="23"/>
        </w:rPr>
        <w:t xml:space="preserve">Apraše numatyta galimybė </w:t>
      </w:r>
      <w:r w:rsidR="00B54202">
        <w:rPr>
          <w:rFonts w:asciiTheme="majorHAnsi" w:hAnsiTheme="majorHAnsi" w:cstheme="majorHAnsi"/>
          <w:sz w:val="23"/>
          <w:szCs w:val="23"/>
        </w:rPr>
        <w:t xml:space="preserve">Atranką inicijuojančio subjekto sprendimu sudarytai </w:t>
      </w:r>
      <w:r w:rsidRPr="00B14E52">
        <w:rPr>
          <w:rFonts w:asciiTheme="majorHAnsi" w:hAnsiTheme="majorHAnsi" w:cstheme="majorHAnsi"/>
          <w:sz w:val="23"/>
          <w:szCs w:val="23"/>
        </w:rPr>
        <w:t>Atrankos komisijai konsultuotis ir kviesti konsultanto teisėmis dalyvauti tiek atrankos komisijos posėdžiuose, tiek atrankos pokalbiuose Bendrovės ir jos kolegialių organų vadovus.</w:t>
      </w:r>
    </w:p>
    <w:p w14:paraId="5E1A77E3" w14:textId="171A0381" w:rsidR="0005751A" w:rsidRPr="00B85AFA" w:rsidRDefault="00132799" w:rsidP="00B85AFA">
      <w:pPr>
        <w:pStyle w:val="ListParagraph"/>
        <w:numPr>
          <w:ilvl w:val="1"/>
          <w:numId w:val="18"/>
        </w:numPr>
        <w:ind w:right="141"/>
        <w:jc w:val="both"/>
        <w:rPr>
          <w:color w:val="00B050"/>
        </w:rPr>
      </w:pPr>
      <w:r w:rsidRPr="00B14E52">
        <w:rPr>
          <w:rFonts w:asciiTheme="majorHAnsi" w:hAnsiTheme="majorHAnsi" w:cstheme="majorHAnsi"/>
          <w:sz w:val="23"/>
          <w:szCs w:val="23"/>
        </w:rPr>
        <w:t xml:space="preserve">Formuojant </w:t>
      </w:r>
      <w:r w:rsidR="00C35EEF" w:rsidRPr="00B14E52">
        <w:rPr>
          <w:rFonts w:asciiTheme="majorHAnsi" w:hAnsiTheme="majorHAnsi" w:cstheme="majorHAnsi"/>
          <w:sz w:val="23"/>
          <w:szCs w:val="23"/>
        </w:rPr>
        <w:t>A</w:t>
      </w:r>
      <w:r w:rsidRPr="00B14E52">
        <w:rPr>
          <w:rFonts w:asciiTheme="majorHAnsi" w:hAnsiTheme="majorHAnsi" w:cstheme="majorHAnsi"/>
          <w:sz w:val="23"/>
          <w:szCs w:val="23"/>
        </w:rPr>
        <w:t xml:space="preserve">trankos komisijos sudėtį </w:t>
      </w:r>
      <w:r w:rsidR="00B54202">
        <w:rPr>
          <w:rFonts w:asciiTheme="majorHAnsi" w:hAnsiTheme="majorHAnsi" w:cstheme="majorHAnsi"/>
          <w:sz w:val="23"/>
          <w:szCs w:val="23"/>
        </w:rPr>
        <w:t>rekomenduojama</w:t>
      </w:r>
      <w:r w:rsidR="00B54202" w:rsidRPr="00B14E52">
        <w:rPr>
          <w:rFonts w:asciiTheme="majorHAnsi" w:hAnsiTheme="majorHAnsi" w:cstheme="majorHAnsi"/>
          <w:sz w:val="23"/>
          <w:szCs w:val="23"/>
        </w:rPr>
        <w:t xml:space="preserve"> </w:t>
      </w:r>
      <w:r w:rsidRPr="00B14E52">
        <w:rPr>
          <w:rFonts w:asciiTheme="majorHAnsi" w:hAnsiTheme="majorHAnsi" w:cstheme="majorHAnsi"/>
          <w:sz w:val="23"/>
          <w:szCs w:val="23"/>
        </w:rPr>
        <w:t>aptarti ir suderinti valdybos pirmininko (jei valdybos kadencija nėra pasibaigusi) įsitraukimą į atrankos komisijos veiklą (įtraukti į pirmąjį atrankos komisijos posėdį). Prieš posėdį ar posėdžio metu naudinga atrankos komisijai pateikti ir pristatyti pasiruošimo atrankai procese parengtą valdybos kompetencijų matricą. Gera praktika</w:t>
      </w:r>
      <w:r w:rsidR="00C35EEF" w:rsidRPr="00B14E52">
        <w:rPr>
          <w:rFonts w:asciiTheme="majorHAnsi" w:hAnsiTheme="majorHAnsi" w:cstheme="majorHAnsi"/>
          <w:sz w:val="23"/>
          <w:szCs w:val="23"/>
        </w:rPr>
        <w:t xml:space="preserve"> laikytina, kuomet</w:t>
      </w:r>
      <w:r w:rsidRPr="00B14E52">
        <w:rPr>
          <w:rFonts w:asciiTheme="majorHAnsi" w:hAnsiTheme="majorHAnsi" w:cstheme="majorHAnsi"/>
          <w:sz w:val="23"/>
          <w:szCs w:val="23"/>
        </w:rPr>
        <w:t xml:space="preserve"> kompetencijų matricą pristato ir pakomentuoja valdybos pirmininkas. </w:t>
      </w:r>
    </w:p>
    <w:p w14:paraId="38762F55" w14:textId="5C05234F" w:rsidR="0005751A" w:rsidRPr="00B14E52" w:rsidRDefault="0005751A" w:rsidP="00B85AFA">
      <w:pPr>
        <w:pStyle w:val="ListParagraph"/>
        <w:numPr>
          <w:ilvl w:val="1"/>
          <w:numId w:val="18"/>
        </w:numPr>
        <w:tabs>
          <w:tab w:val="left" w:pos="1134"/>
        </w:tabs>
        <w:ind w:right="141"/>
        <w:jc w:val="both"/>
        <w:rPr>
          <w:rFonts w:asciiTheme="majorHAnsi" w:hAnsiTheme="majorHAnsi" w:cstheme="majorHAnsi"/>
          <w:color w:val="FF0000"/>
          <w:sz w:val="23"/>
          <w:szCs w:val="23"/>
        </w:rPr>
      </w:pPr>
      <w:r w:rsidRPr="00B14E52">
        <w:rPr>
          <w:rFonts w:asciiTheme="majorHAnsi" w:hAnsiTheme="majorHAnsi" w:cstheme="majorHAnsi"/>
          <w:sz w:val="23"/>
          <w:szCs w:val="23"/>
        </w:rPr>
        <w:t xml:space="preserve">Atsižvelgiant į tai, kad Bendrovė yra pirmos kategorijos nacionaliniam saugumui svarbi įmonė, į Bendrovės valdybos narius skiriami asmenys Lietuvos Respublikos Vyriausybės nustatyta tvarka tikrinami, ir negali eiti pareigų, jeigu yra nustatomos Lietuvos Respublikos nacionaliniam saugumui užtikrinti svarbių objektų apsaugos įstatymo 17 straipsnyje numatytos aplinkybės. </w:t>
      </w:r>
    </w:p>
    <w:p w14:paraId="674C9CF8" w14:textId="78BC656B" w:rsidR="0005751A" w:rsidRPr="00B14E52" w:rsidRDefault="00386073" w:rsidP="00B85AFA">
      <w:pPr>
        <w:pStyle w:val="ListParagraph"/>
        <w:numPr>
          <w:ilvl w:val="1"/>
          <w:numId w:val="18"/>
        </w:numPr>
        <w:tabs>
          <w:tab w:val="left" w:pos="1134"/>
        </w:tabs>
        <w:ind w:right="141"/>
        <w:jc w:val="both"/>
        <w:rPr>
          <w:rFonts w:asciiTheme="majorHAnsi" w:hAnsiTheme="majorHAnsi" w:cstheme="majorHAnsi"/>
          <w:color w:val="FF0000"/>
          <w:sz w:val="23"/>
          <w:szCs w:val="23"/>
        </w:rPr>
      </w:pPr>
      <w:r w:rsidRPr="00B14E52">
        <w:rPr>
          <w:rFonts w:asciiTheme="majorHAnsi" w:hAnsiTheme="majorHAnsi" w:cstheme="majorHAnsi"/>
          <w:sz w:val="23"/>
          <w:szCs w:val="23"/>
        </w:rPr>
        <w:t>Atranką inicijuojantis subjektas Apraše nustatyta tvarka turi teisę priimti sprendimą siūlyti balsuoti už kandidatą visuotiniame akcininkų susirinkime.</w:t>
      </w:r>
      <w:r w:rsidR="00011E61">
        <w:rPr>
          <w:rFonts w:asciiTheme="majorHAnsi" w:hAnsiTheme="majorHAnsi" w:cstheme="majorHAnsi"/>
          <w:sz w:val="23"/>
          <w:szCs w:val="23"/>
        </w:rPr>
        <w:t xml:space="preserve"> Visuotiniam akcininkų susirinkimui priėmus sprendimą išrinkti kandidatą Bendrovės valdybos nariu, su juo</w:t>
      </w:r>
      <w:r w:rsidR="001112E3">
        <w:rPr>
          <w:rFonts w:asciiTheme="majorHAnsi" w:hAnsiTheme="majorHAnsi" w:cstheme="majorHAnsi"/>
          <w:sz w:val="23"/>
          <w:szCs w:val="23"/>
        </w:rPr>
        <w:t xml:space="preserve"> Apraše nustatyta tvarka pasirašoma sutartis dėl valdybos nario veiklos.</w:t>
      </w:r>
    </w:p>
    <w:p w14:paraId="012EC5BE" w14:textId="0775DF52" w:rsidR="0005751A" w:rsidRPr="00B85AFA" w:rsidRDefault="0005751A" w:rsidP="00622966">
      <w:pPr>
        <w:pStyle w:val="ListParagraph"/>
        <w:numPr>
          <w:ilvl w:val="1"/>
          <w:numId w:val="18"/>
        </w:numPr>
        <w:tabs>
          <w:tab w:val="left" w:pos="1134"/>
        </w:tabs>
        <w:ind w:right="141"/>
        <w:jc w:val="both"/>
        <w:rPr>
          <w:rFonts w:asciiTheme="majorHAnsi" w:hAnsiTheme="majorHAnsi" w:cstheme="majorHAnsi"/>
          <w:color w:val="FF0000"/>
          <w:sz w:val="23"/>
          <w:szCs w:val="23"/>
        </w:rPr>
      </w:pPr>
      <w:r w:rsidRPr="00B14E52">
        <w:rPr>
          <w:rFonts w:asciiTheme="majorHAnsi" w:hAnsiTheme="majorHAnsi" w:cstheme="majorHAnsi"/>
          <w:sz w:val="23"/>
          <w:szCs w:val="23"/>
          <w:lang w:eastAsia="lt-LT"/>
        </w:rPr>
        <w:t>Atrankos procedūros užbaigiamos informaciją dėl kandidato išrinkimo valdybos nariu išviešinant suinteresuotoms šalims</w:t>
      </w:r>
      <w:r w:rsidR="00302EA9" w:rsidRPr="00B14E52">
        <w:rPr>
          <w:rFonts w:asciiTheme="majorHAnsi" w:hAnsiTheme="majorHAnsi" w:cstheme="majorHAnsi"/>
          <w:sz w:val="23"/>
          <w:szCs w:val="23"/>
          <w:lang w:eastAsia="lt-LT"/>
        </w:rPr>
        <w:t>.</w:t>
      </w:r>
      <w:r w:rsidRPr="00B14E52">
        <w:rPr>
          <w:rFonts w:asciiTheme="majorHAnsi" w:hAnsiTheme="majorHAnsi" w:cstheme="majorHAnsi"/>
          <w:sz w:val="23"/>
          <w:szCs w:val="23"/>
          <w:lang w:eastAsia="lt-LT"/>
        </w:rPr>
        <w:t xml:space="preserve"> Bendrovė </w:t>
      </w:r>
      <w:r w:rsidR="00302EA9" w:rsidRPr="00B14E52">
        <w:rPr>
          <w:rFonts w:asciiTheme="majorHAnsi" w:hAnsiTheme="majorHAnsi" w:cstheme="majorHAnsi"/>
          <w:sz w:val="23"/>
          <w:szCs w:val="23"/>
          <w:lang w:eastAsia="lt-LT"/>
        </w:rPr>
        <w:t xml:space="preserve">informaciją apie išrinktus valdybos narius </w:t>
      </w:r>
      <w:r w:rsidR="0069700F" w:rsidRPr="00B14E52">
        <w:rPr>
          <w:rFonts w:asciiTheme="majorHAnsi" w:hAnsiTheme="majorHAnsi" w:cstheme="majorHAnsi"/>
          <w:sz w:val="23"/>
          <w:szCs w:val="23"/>
          <w:lang w:eastAsia="lt-LT"/>
        </w:rPr>
        <w:t>skelbia</w:t>
      </w:r>
      <w:r w:rsidR="00302EA9" w:rsidRPr="00B14E52">
        <w:rPr>
          <w:rFonts w:asciiTheme="majorHAnsi" w:hAnsiTheme="majorHAnsi" w:cstheme="majorHAnsi"/>
          <w:sz w:val="23"/>
          <w:szCs w:val="23"/>
          <w:lang w:eastAsia="lt-LT"/>
        </w:rPr>
        <w:t xml:space="preserve"> savo </w:t>
      </w:r>
      <w:r w:rsidR="0069700F" w:rsidRPr="00B14E52">
        <w:rPr>
          <w:rFonts w:asciiTheme="majorHAnsi" w:hAnsiTheme="majorHAnsi" w:cstheme="majorHAnsi"/>
          <w:sz w:val="23"/>
          <w:szCs w:val="23"/>
          <w:lang w:eastAsia="lt-LT"/>
        </w:rPr>
        <w:t xml:space="preserve">interneto </w:t>
      </w:r>
      <w:r w:rsidR="00302EA9" w:rsidRPr="00B14E52">
        <w:rPr>
          <w:rFonts w:asciiTheme="majorHAnsi" w:hAnsiTheme="majorHAnsi" w:cstheme="majorHAnsi"/>
          <w:sz w:val="23"/>
          <w:szCs w:val="23"/>
          <w:lang w:eastAsia="lt-LT"/>
        </w:rPr>
        <w:t>svetainėje, taip pat pasirinktinai ir kituose šaltiniuose.</w:t>
      </w:r>
    </w:p>
    <w:p w14:paraId="45126F6D" w14:textId="07918589" w:rsidR="00622966" w:rsidRPr="00B14E52" w:rsidRDefault="00622966" w:rsidP="00B85AFA">
      <w:pPr>
        <w:pStyle w:val="ListParagraph"/>
        <w:numPr>
          <w:ilvl w:val="1"/>
          <w:numId w:val="18"/>
        </w:numPr>
        <w:tabs>
          <w:tab w:val="left" w:pos="1134"/>
        </w:tabs>
        <w:ind w:right="141"/>
        <w:jc w:val="both"/>
        <w:rPr>
          <w:rFonts w:asciiTheme="majorHAnsi" w:hAnsiTheme="majorHAnsi" w:cstheme="majorHAnsi"/>
          <w:color w:val="FF0000"/>
          <w:sz w:val="23"/>
          <w:szCs w:val="23"/>
        </w:rPr>
      </w:pPr>
      <w:r>
        <w:rPr>
          <w:rFonts w:asciiTheme="majorHAnsi" w:hAnsiTheme="majorHAnsi" w:cstheme="majorHAnsi"/>
          <w:sz w:val="23"/>
          <w:szCs w:val="23"/>
          <w:lang w:eastAsia="lt-LT"/>
        </w:rPr>
        <w:t xml:space="preserve">Bendrovė turi </w:t>
      </w:r>
      <w:r w:rsidR="00122032">
        <w:rPr>
          <w:rFonts w:asciiTheme="majorHAnsi" w:hAnsiTheme="majorHAnsi" w:cstheme="majorHAnsi"/>
          <w:sz w:val="23"/>
          <w:szCs w:val="23"/>
          <w:lang w:eastAsia="lt-LT"/>
        </w:rPr>
        <w:t xml:space="preserve">siekti, kad naujai išrinktai valdybai/valdybos nariui būtų sudarytos geriausios sąlygos operatyviai susipažinti su </w:t>
      </w:r>
      <w:r>
        <w:rPr>
          <w:rFonts w:asciiTheme="majorHAnsi" w:hAnsiTheme="majorHAnsi" w:cstheme="majorHAnsi"/>
          <w:sz w:val="23"/>
          <w:szCs w:val="23"/>
          <w:lang w:eastAsia="lt-LT"/>
        </w:rPr>
        <w:t xml:space="preserve"> </w:t>
      </w:r>
      <w:r w:rsidR="00122032">
        <w:rPr>
          <w:rFonts w:asciiTheme="majorHAnsi" w:hAnsiTheme="majorHAnsi" w:cstheme="majorHAnsi"/>
          <w:sz w:val="23"/>
          <w:szCs w:val="23"/>
          <w:lang w:eastAsia="lt-LT"/>
        </w:rPr>
        <w:t>Bendrovės veikla ir sudaromos sąlygos efektyviam darbui.</w:t>
      </w:r>
    </w:p>
    <w:p w14:paraId="2E01ED86" w14:textId="77777777" w:rsidR="00CB3461" w:rsidRPr="00B14E52" w:rsidRDefault="00CB3461" w:rsidP="00C72786">
      <w:pPr>
        <w:tabs>
          <w:tab w:val="left" w:pos="1134"/>
        </w:tabs>
        <w:spacing w:after="0" w:line="240" w:lineRule="auto"/>
        <w:ind w:right="141"/>
        <w:jc w:val="both"/>
        <w:rPr>
          <w:rFonts w:asciiTheme="majorHAnsi" w:hAnsiTheme="majorHAnsi" w:cstheme="majorHAnsi"/>
          <w:b/>
          <w:sz w:val="23"/>
          <w:szCs w:val="23"/>
          <w:lang w:val="lt-LT"/>
        </w:rPr>
      </w:pPr>
    </w:p>
    <w:p w14:paraId="03BB80B7" w14:textId="77777777" w:rsidR="0005751A" w:rsidRPr="00B14E52" w:rsidRDefault="0005751A" w:rsidP="00B85AFA">
      <w:pPr>
        <w:pStyle w:val="ListParagraph"/>
        <w:numPr>
          <w:ilvl w:val="0"/>
          <w:numId w:val="18"/>
        </w:numPr>
        <w:tabs>
          <w:tab w:val="left" w:pos="1134"/>
        </w:tabs>
        <w:ind w:left="567" w:right="141" w:hanging="567"/>
        <w:jc w:val="both"/>
        <w:rPr>
          <w:rFonts w:asciiTheme="majorHAnsi" w:hAnsiTheme="majorHAnsi" w:cstheme="majorHAnsi"/>
          <w:b/>
          <w:sz w:val="23"/>
          <w:szCs w:val="23"/>
        </w:rPr>
      </w:pPr>
      <w:r w:rsidRPr="00B14E52">
        <w:rPr>
          <w:rFonts w:asciiTheme="majorHAnsi" w:hAnsiTheme="majorHAnsi" w:cstheme="majorHAnsi"/>
          <w:b/>
          <w:sz w:val="23"/>
          <w:szCs w:val="23"/>
        </w:rPr>
        <w:t>BAIGIAMOSIOS NUOSTATOS</w:t>
      </w:r>
    </w:p>
    <w:bookmarkEnd w:id="0"/>
    <w:p w14:paraId="5B1C7072" w14:textId="258D5B56" w:rsidR="00CF0DDA" w:rsidRPr="00B14E52" w:rsidRDefault="00CF0DDA" w:rsidP="00B85AFA">
      <w:pPr>
        <w:pStyle w:val="ListParagraph"/>
        <w:numPr>
          <w:ilvl w:val="1"/>
          <w:numId w:val="18"/>
        </w:numPr>
        <w:tabs>
          <w:tab w:val="left" w:pos="1134"/>
        </w:tabs>
        <w:ind w:right="141"/>
        <w:jc w:val="both"/>
        <w:rPr>
          <w:rFonts w:asciiTheme="majorHAnsi" w:hAnsiTheme="majorHAnsi" w:cstheme="majorHAnsi"/>
          <w:bCs/>
          <w:sz w:val="23"/>
          <w:szCs w:val="23"/>
        </w:rPr>
      </w:pPr>
      <w:r w:rsidRPr="00B14E52">
        <w:rPr>
          <w:rFonts w:asciiTheme="majorHAnsi" w:hAnsiTheme="majorHAnsi" w:cstheme="majorHAnsi"/>
          <w:bCs/>
          <w:sz w:val="23"/>
          <w:szCs w:val="23"/>
        </w:rPr>
        <w:t>Politika tvirtinam</w:t>
      </w:r>
      <w:r w:rsidR="00674DA9">
        <w:rPr>
          <w:rFonts w:asciiTheme="majorHAnsi" w:hAnsiTheme="majorHAnsi" w:cstheme="majorHAnsi"/>
          <w:bCs/>
          <w:sz w:val="23"/>
          <w:szCs w:val="23"/>
        </w:rPr>
        <w:t>a</w:t>
      </w:r>
      <w:r w:rsidRPr="00B14E52">
        <w:rPr>
          <w:rFonts w:asciiTheme="majorHAnsi" w:hAnsiTheme="majorHAnsi" w:cstheme="majorHAnsi"/>
          <w:bCs/>
          <w:sz w:val="23"/>
          <w:szCs w:val="23"/>
        </w:rPr>
        <w:t xml:space="preserve"> ir keičiam</w:t>
      </w:r>
      <w:r w:rsidR="00674DA9">
        <w:rPr>
          <w:rFonts w:asciiTheme="majorHAnsi" w:hAnsiTheme="majorHAnsi" w:cstheme="majorHAnsi"/>
          <w:bCs/>
          <w:sz w:val="23"/>
          <w:szCs w:val="23"/>
        </w:rPr>
        <w:t>a</w:t>
      </w:r>
      <w:r w:rsidRPr="00B14E52">
        <w:rPr>
          <w:rFonts w:asciiTheme="majorHAnsi" w:hAnsiTheme="majorHAnsi" w:cstheme="majorHAnsi"/>
          <w:bCs/>
          <w:sz w:val="23"/>
          <w:szCs w:val="23"/>
        </w:rPr>
        <w:t xml:space="preserve"> </w:t>
      </w:r>
      <w:r w:rsidR="00D12EDF" w:rsidRPr="00B14E52">
        <w:rPr>
          <w:rFonts w:asciiTheme="majorHAnsi" w:hAnsiTheme="majorHAnsi" w:cstheme="majorHAnsi"/>
          <w:bCs/>
          <w:sz w:val="23"/>
          <w:szCs w:val="23"/>
        </w:rPr>
        <w:t>valdybos</w:t>
      </w:r>
      <w:r w:rsidRPr="00B14E52">
        <w:rPr>
          <w:rFonts w:asciiTheme="majorHAnsi" w:hAnsiTheme="majorHAnsi" w:cstheme="majorHAnsi"/>
          <w:bCs/>
          <w:sz w:val="23"/>
          <w:szCs w:val="23"/>
        </w:rPr>
        <w:t xml:space="preserve"> sprendimu.</w:t>
      </w:r>
    </w:p>
    <w:p w14:paraId="44C27AFB" w14:textId="3AF5B24E" w:rsidR="005C2A55" w:rsidRDefault="00674DA9" w:rsidP="00622966">
      <w:pPr>
        <w:pStyle w:val="ListParagraph"/>
        <w:numPr>
          <w:ilvl w:val="1"/>
          <w:numId w:val="18"/>
        </w:numPr>
        <w:tabs>
          <w:tab w:val="left" w:pos="1134"/>
        </w:tabs>
        <w:ind w:right="141"/>
        <w:jc w:val="both"/>
        <w:rPr>
          <w:rFonts w:asciiTheme="majorHAnsi" w:hAnsiTheme="majorHAnsi" w:cstheme="majorHAnsi"/>
          <w:bCs/>
          <w:sz w:val="23"/>
          <w:szCs w:val="23"/>
        </w:rPr>
      </w:pPr>
      <w:r>
        <w:rPr>
          <w:rFonts w:asciiTheme="majorHAnsi" w:hAnsiTheme="majorHAnsi" w:cstheme="majorHAnsi"/>
          <w:bCs/>
          <w:sz w:val="23"/>
          <w:szCs w:val="23"/>
        </w:rPr>
        <w:t>Šios Politikos nuostatos, susijusios su visuotinio akcininkų susirinkimo/akcininkų/jų deleguotų asmenų teisėmis ir pareigomis, yra rekomendacinio pobūdžio.</w:t>
      </w:r>
      <w:r w:rsidR="005F4970">
        <w:rPr>
          <w:rFonts w:asciiTheme="majorHAnsi" w:hAnsiTheme="majorHAnsi" w:cstheme="majorHAnsi"/>
          <w:bCs/>
          <w:sz w:val="23"/>
          <w:szCs w:val="23"/>
        </w:rPr>
        <w:t xml:space="preserve"> Patvirtinta Politika yra teikiama visuotiniam akcininkų susirinkimui susipažinti.</w:t>
      </w:r>
    </w:p>
    <w:p w14:paraId="1E3CFB3B" w14:textId="455DBAEB" w:rsidR="00674DA9" w:rsidRPr="00B14E52" w:rsidRDefault="00674DA9" w:rsidP="00B85AFA">
      <w:pPr>
        <w:pStyle w:val="ListParagraph"/>
        <w:numPr>
          <w:ilvl w:val="1"/>
          <w:numId w:val="18"/>
        </w:numPr>
        <w:tabs>
          <w:tab w:val="left" w:pos="1134"/>
        </w:tabs>
        <w:ind w:right="141"/>
        <w:jc w:val="both"/>
        <w:rPr>
          <w:rFonts w:asciiTheme="majorHAnsi" w:hAnsiTheme="majorHAnsi" w:cstheme="majorHAnsi"/>
          <w:bCs/>
          <w:sz w:val="23"/>
          <w:szCs w:val="23"/>
        </w:rPr>
      </w:pPr>
      <w:r>
        <w:rPr>
          <w:rFonts w:asciiTheme="majorHAnsi" w:hAnsiTheme="majorHAnsi" w:cstheme="majorHAnsi"/>
          <w:bCs/>
          <w:sz w:val="23"/>
          <w:szCs w:val="23"/>
        </w:rPr>
        <w:t>Politika peržiūrima ir esant poreikiui atnaujinama ne rečiau kaip kas 3 (trejus) metus.</w:t>
      </w:r>
    </w:p>
    <w:p w14:paraId="262BD2BA" w14:textId="36B06F8B" w:rsidR="00674DA9" w:rsidRDefault="00CF0DDA" w:rsidP="00622966">
      <w:pPr>
        <w:pStyle w:val="ListParagraph"/>
        <w:numPr>
          <w:ilvl w:val="1"/>
          <w:numId w:val="18"/>
        </w:numPr>
        <w:tabs>
          <w:tab w:val="left" w:pos="1134"/>
        </w:tabs>
        <w:ind w:right="141"/>
        <w:jc w:val="both"/>
        <w:rPr>
          <w:rFonts w:asciiTheme="majorHAnsi" w:hAnsiTheme="majorHAnsi" w:cstheme="majorHAnsi"/>
          <w:bCs/>
          <w:sz w:val="23"/>
          <w:szCs w:val="23"/>
        </w:rPr>
      </w:pPr>
      <w:r w:rsidRPr="00B14E52">
        <w:rPr>
          <w:rFonts w:asciiTheme="majorHAnsi" w:hAnsiTheme="majorHAnsi" w:cstheme="majorHAnsi"/>
          <w:bCs/>
          <w:sz w:val="23"/>
          <w:szCs w:val="23"/>
        </w:rPr>
        <w:lastRenderedPageBreak/>
        <w:t xml:space="preserve">Bendrovės Teisės skyrius yra atsakingas už </w:t>
      </w:r>
      <w:r w:rsidR="00674DA9">
        <w:rPr>
          <w:rFonts w:asciiTheme="majorHAnsi" w:hAnsiTheme="majorHAnsi" w:cstheme="majorHAnsi"/>
          <w:bCs/>
          <w:sz w:val="23"/>
          <w:szCs w:val="23"/>
        </w:rPr>
        <w:t>Politikos</w:t>
      </w:r>
      <w:r w:rsidR="005C2A55" w:rsidRPr="00B14E52">
        <w:rPr>
          <w:rFonts w:asciiTheme="majorHAnsi" w:hAnsiTheme="majorHAnsi" w:cstheme="majorHAnsi"/>
          <w:bCs/>
          <w:sz w:val="23"/>
          <w:szCs w:val="23"/>
        </w:rPr>
        <w:t xml:space="preserve"> </w:t>
      </w:r>
      <w:r w:rsidRPr="00B14E52">
        <w:rPr>
          <w:rFonts w:asciiTheme="majorHAnsi" w:hAnsiTheme="majorHAnsi" w:cstheme="majorHAnsi"/>
          <w:bCs/>
          <w:sz w:val="23"/>
          <w:szCs w:val="23"/>
        </w:rPr>
        <w:t>atnaujinimo inicijavimą.</w:t>
      </w:r>
    </w:p>
    <w:p w14:paraId="2FFBDC72" w14:textId="73A82F93" w:rsidR="00CF0DDA" w:rsidRDefault="00CF0DDA" w:rsidP="00B85AFA">
      <w:pPr>
        <w:pStyle w:val="ListParagraph"/>
        <w:numPr>
          <w:ilvl w:val="1"/>
          <w:numId w:val="18"/>
        </w:numPr>
        <w:tabs>
          <w:tab w:val="left" w:pos="1134"/>
        </w:tabs>
        <w:ind w:right="141"/>
        <w:jc w:val="both"/>
        <w:rPr>
          <w:rFonts w:asciiTheme="majorHAnsi" w:hAnsiTheme="majorHAnsi" w:cstheme="majorHAnsi"/>
          <w:bCs/>
          <w:sz w:val="23"/>
          <w:szCs w:val="23"/>
        </w:rPr>
      </w:pPr>
      <w:r w:rsidRPr="00B14E52">
        <w:rPr>
          <w:rFonts w:asciiTheme="majorHAnsi" w:hAnsiTheme="majorHAnsi" w:cstheme="majorHAnsi"/>
          <w:bCs/>
          <w:sz w:val="23"/>
          <w:szCs w:val="23"/>
        </w:rPr>
        <w:t>Patvirtint</w:t>
      </w:r>
      <w:r w:rsidR="00674DA9">
        <w:rPr>
          <w:rFonts w:asciiTheme="majorHAnsi" w:hAnsiTheme="majorHAnsi" w:cstheme="majorHAnsi"/>
          <w:bCs/>
          <w:sz w:val="23"/>
          <w:szCs w:val="23"/>
        </w:rPr>
        <w:t>a</w:t>
      </w:r>
      <w:r w:rsidRPr="00B14E52">
        <w:rPr>
          <w:rFonts w:asciiTheme="majorHAnsi" w:hAnsiTheme="majorHAnsi" w:cstheme="majorHAnsi"/>
          <w:bCs/>
          <w:sz w:val="23"/>
          <w:szCs w:val="23"/>
        </w:rPr>
        <w:t xml:space="preserve"> </w:t>
      </w:r>
      <w:r w:rsidR="00674DA9">
        <w:rPr>
          <w:rFonts w:asciiTheme="majorHAnsi" w:hAnsiTheme="majorHAnsi" w:cstheme="majorHAnsi"/>
          <w:bCs/>
          <w:sz w:val="23"/>
          <w:szCs w:val="23"/>
        </w:rPr>
        <w:t>Politika</w:t>
      </w:r>
      <w:r w:rsidR="005C2A55" w:rsidRPr="00B14E52">
        <w:rPr>
          <w:rFonts w:asciiTheme="majorHAnsi" w:hAnsiTheme="majorHAnsi" w:cstheme="majorHAnsi"/>
          <w:bCs/>
          <w:sz w:val="23"/>
          <w:szCs w:val="23"/>
        </w:rPr>
        <w:t xml:space="preserve"> </w:t>
      </w:r>
      <w:r w:rsidRPr="00B14E52">
        <w:rPr>
          <w:rFonts w:asciiTheme="majorHAnsi" w:hAnsiTheme="majorHAnsi" w:cstheme="majorHAnsi"/>
          <w:bCs/>
          <w:sz w:val="23"/>
          <w:szCs w:val="23"/>
        </w:rPr>
        <w:t xml:space="preserve">skelbiama Bendrovės interneto svetainėje </w:t>
      </w:r>
      <w:hyperlink r:id="rId14" w:history="1">
        <w:r w:rsidR="00E836AF" w:rsidRPr="00A03E6B">
          <w:rPr>
            <w:rStyle w:val="Hyperlink"/>
            <w:rFonts w:asciiTheme="majorHAnsi" w:hAnsiTheme="majorHAnsi" w:cstheme="majorHAnsi"/>
            <w:bCs/>
            <w:sz w:val="23"/>
            <w:szCs w:val="23"/>
          </w:rPr>
          <w:t>www.vv.lt</w:t>
        </w:r>
      </w:hyperlink>
      <w:r w:rsidRPr="00B14E52">
        <w:rPr>
          <w:rFonts w:asciiTheme="majorHAnsi" w:hAnsiTheme="majorHAnsi" w:cstheme="majorHAnsi"/>
          <w:bCs/>
          <w:sz w:val="23"/>
          <w:szCs w:val="23"/>
        </w:rPr>
        <w:t>.</w:t>
      </w:r>
    </w:p>
    <w:p w14:paraId="4243EB28" w14:textId="1656B71B" w:rsidR="00E836AF" w:rsidRDefault="00E836AF" w:rsidP="00E836AF">
      <w:pPr>
        <w:tabs>
          <w:tab w:val="left" w:pos="1134"/>
        </w:tabs>
        <w:ind w:right="141"/>
        <w:jc w:val="both"/>
        <w:rPr>
          <w:rFonts w:asciiTheme="majorHAnsi" w:hAnsiTheme="majorHAnsi" w:cstheme="majorHAnsi"/>
          <w:bCs/>
          <w:sz w:val="23"/>
          <w:szCs w:val="23"/>
        </w:rPr>
      </w:pPr>
    </w:p>
    <w:p w14:paraId="17BB447A" w14:textId="601C9C56" w:rsidR="00E836AF" w:rsidRDefault="00E836AF" w:rsidP="00E836AF">
      <w:pPr>
        <w:pStyle w:val="ListParagraph"/>
        <w:numPr>
          <w:ilvl w:val="0"/>
          <w:numId w:val="18"/>
        </w:numPr>
        <w:tabs>
          <w:tab w:val="left" w:pos="1134"/>
        </w:tabs>
        <w:ind w:right="141"/>
        <w:jc w:val="both"/>
        <w:rPr>
          <w:rFonts w:asciiTheme="majorHAnsi" w:hAnsiTheme="majorHAnsi" w:cstheme="majorHAnsi"/>
          <w:b/>
          <w:sz w:val="23"/>
          <w:szCs w:val="23"/>
        </w:rPr>
      </w:pPr>
      <w:r w:rsidRPr="00E836AF">
        <w:rPr>
          <w:rFonts w:asciiTheme="majorHAnsi" w:hAnsiTheme="majorHAnsi" w:cstheme="majorHAnsi"/>
          <w:b/>
          <w:sz w:val="23"/>
          <w:szCs w:val="23"/>
        </w:rPr>
        <w:t>PRIEDAI</w:t>
      </w:r>
    </w:p>
    <w:p w14:paraId="44A67033" w14:textId="3C843724" w:rsidR="00E836AF" w:rsidRPr="00E836AF" w:rsidRDefault="00E836AF" w:rsidP="00E836AF">
      <w:pPr>
        <w:pStyle w:val="ListParagraph"/>
        <w:numPr>
          <w:ilvl w:val="1"/>
          <w:numId w:val="18"/>
        </w:numPr>
        <w:tabs>
          <w:tab w:val="left" w:pos="1134"/>
        </w:tabs>
        <w:ind w:right="141"/>
        <w:jc w:val="both"/>
        <w:rPr>
          <w:rFonts w:asciiTheme="majorHAnsi" w:hAnsiTheme="majorHAnsi" w:cstheme="majorHAnsi"/>
          <w:bCs/>
          <w:sz w:val="23"/>
          <w:szCs w:val="23"/>
        </w:rPr>
      </w:pPr>
      <w:r w:rsidRPr="00E836AF">
        <w:rPr>
          <w:rFonts w:asciiTheme="majorHAnsi" w:hAnsiTheme="majorHAnsi" w:cstheme="majorHAnsi"/>
          <w:bCs/>
          <w:sz w:val="23"/>
          <w:szCs w:val="23"/>
        </w:rPr>
        <w:t>Pavyzdinė valdybos kompetencijų matricos forma.</w:t>
      </w:r>
    </w:p>
    <w:p w14:paraId="5838B917" w14:textId="77777777" w:rsidR="0005751A" w:rsidRPr="00C72786" w:rsidRDefault="0005751A" w:rsidP="00C72786">
      <w:pPr>
        <w:pStyle w:val="ListParagraph"/>
        <w:tabs>
          <w:tab w:val="left" w:pos="1134"/>
        </w:tabs>
        <w:ind w:left="958" w:right="141"/>
        <w:jc w:val="both"/>
        <w:rPr>
          <w:rFonts w:asciiTheme="majorHAnsi" w:hAnsiTheme="majorHAnsi" w:cstheme="majorHAnsi"/>
          <w:color w:val="00B050"/>
          <w:sz w:val="23"/>
          <w:szCs w:val="23"/>
        </w:rPr>
      </w:pPr>
    </w:p>
    <w:sectPr w:rsidR="0005751A" w:rsidRPr="00C72786" w:rsidSect="00D3262F">
      <w:headerReference w:type="default" r:id="rId15"/>
      <w:footerReference w:type="default" r:id="rId16"/>
      <w:pgSz w:w="12240" w:h="15840"/>
      <w:pgMar w:top="567" w:right="333" w:bottom="426"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84F79" w14:textId="77777777" w:rsidR="001100F6" w:rsidRDefault="001100F6" w:rsidP="00670EAB">
      <w:pPr>
        <w:spacing w:after="0" w:line="240" w:lineRule="auto"/>
      </w:pPr>
      <w:r>
        <w:separator/>
      </w:r>
    </w:p>
  </w:endnote>
  <w:endnote w:type="continuationSeparator" w:id="0">
    <w:p w14:paraId="057BC96F" w14:textId="77777777" w:rsidR="001100F6" w:rsidRDefault="001100F6" w:rsidP="00670EAB">
      <w:pPr>
        <w:spacing w:after="0" w:line="240" w:lineRule="auto"/>
      </w:pPr>
      <w:r>
        <w:continuationSeparator/>
      </w:r>
    </w:p>
  </w:endnote>
  <w:endnote w:type="continuationNotice" w:id="1">
    <w:p w14:paraId="77F31D0C" w14:textId="77777777" w:rsidR="001100F6" w:rsidRDefault="00110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140666"/>
      <w:docPartObj>
        <w:docPartGallery w:val="Page Numbers (Bottom of Page)"/>
        <w:docPartUnique/>
      </w:docPartObj>
    </w:sdtPr>
    <w:sdtEndPr/>
    <w:sdtContent>
      <w:p w14:paraId="6D4C2FDD" w14:textId="70F87B43" w:rsidR="00B64F32" w:rsidRDefault="00B64F32">
        <w:pPr>
          <w:pStyle w:val="Footer"/>
          <w:jc w:val="right"/>
        </w:pPr>
        <w:r>
          <w:fldChar w:fldCharType="begin"/>
        </w:r>
        <w:r>
          <w:instrText>PAGE   \* MERGEFORMAT</w:instrText>
        </w:r>
        <w:r>
          <w:fldChar w:fldCharType="separate"/>
        </w:r>
        <w:r>
          <w:rPr>
            <w:lang w:val="lt-LT"/>
          </w:rPr>
          <w:t>2</w:t>
        </w:r>
        <w:r>
          <w:fldChar w:fldCharType="end"/>
        </w:r>
      </w:p>
    </w:sdtContent>
  </w:sdt>
  <w:p w14:paraId="6D6BD3DA" w14:textId="77777777" w:rsidR="00B64F32" w:rsidRDefault="00B6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85ED6" w14:textId="77777777" w:rsidR="001100F6" w:rsidRDefault="001100F6" w:rsidP="00670EAB">
      <w:pPr>
        <w:spacing w:after="0" w:line="240" w:lineRule="auto"/>
      </w:pPr>
      <w:r>
        <w:separator/>
      </w:r>
    </w:p>
  </w:footnote>
  <w:footnote w:type="continuationSeparator" w:id="0">
    <w:p w14:paraId="08F5360D" w14:textId="77777777" w:rsidR="001100F6" w:rsidRDefault="001100F6" w:rsidP="00670EAB">
      <w:pPr>
        <w:spacing w:after="0" w:line="240" w:lineRule="auto"/>
      </w:pPr>
      <w:r>
        <w:continuationSeparator/>
      </w:r>
    </w:p>
  </w:footnote>
  <w:footnote w:type="continuationNotice" w:id="1">
    <w:p w14:paraId="76EED004" w14:textId="77777777" w:rsidR="001100F6" w:rsidRDefault="001100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8FCE5" w14:textId="77777777" w:rsidR="00D3262F" w:rsidRDefault="00D3262F" w:rsidP="00D3262F">
    <w:pPr>
      <w:pStyle w:val="Header"/>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3969"/>
      <w:gridCol w:w="1701"/>
      <w:gridCol w:w="2835"/>
      <w:gridCol w:w="1277"/>
      <w:gridCol w:w="1275"/>
    </w:tblGrid>
    <w:tr w:rsidR="00D3262F" w:rsidRPr="0045064B" w14:paraId="6D5D5269" w14:textId="77777777" w:rsidTr="0066441E">
      <w:tc>
        <w:tcPr>
          <w:tcW w:w="3969" w:type="dxa"/>
          <w:shd w:val="clear" w:color="auto" w:fill="D9D9D9" w:themeFill="background1" w:themeFillShade="D9"/>
        </w:tcPr>
        <w:p w14:paraId="54F18915"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1701" w:type="dxa"/>
          <w:shd w:val="clear" w:color="auto" w:fill="D9D9D9" w:themeFill="background1" w:themeFillShade="D9"/>
        </w:tcPr>
        <w:p w14:paraId="5124CC56"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2835"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277"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275"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D3262F" w:rsidRPr="008A37AD" w14:paraId="15262112" w14:textId="77777777" w:rsidTr="0066441E">
      <w:trPr>
        <w:trHeight w:val="177"/>
      </w:trPr>
      <w:tc>
        <w:tcPr>
          <w:tcW w:w="3969" w:type="dxa"/>
          <w:shd w:val="clear" w:color="auto" w:fill="D9D9D9" w:themeFill="background1" w:themeFillShade="D9"/>
        </w:tcPr>
        <w:p w14:paraId="302F6947" w14:textId="118DD08B" w:rsidR="00D3262F" w:rsidRPr="008A37AD" w:rsidRDefault="00C92F72" w:rsidP="00D3262F">
          <w:pPr>
            <w:spacing w:after="0"/>
            <w:ind w:left="-110"/>
            <w:jc w:val="center"/>
            <w:rPr>
              <w:rFonts w:ascii="Calibri" w:hAnsi="Calibri" w:cs="Calibri"/>
              <w:sz w:val="16"/>
              <w:szCs w:val="16"/>
              <w:lang w:val="lt-LT"/>
            </w:rPr>
          </w:pPr>
          <w:r>
            <w:rPr>
              <w:rFonts w:ascii="Calibri" w:hAnsi="Calibri" w:cs="Calibri"/>
              <w:sz w:val="16"/>
              <w:szCs w:val="16"/>
              <w:lang w:val="lt-LT"/>
            </w:rPr>
            <w:t>UAB „Vilniaus vandenys“ valdybos formavimo politika</w:t>
          </w:r>
        </w:p>
      </w:tc>
      <w:tc>
        <w:tcPr>
          <w:tcW w:w="1701" w:type="dxa"/>
          <w:shd w:val="clear" w:color="auto" w:fill="D9D9D9" w:themeFill="background1" w:themeFillShade="D9"/>
        </w:tcPr>
        <w:p w14:paraId="25E68842" w14:textId="4EB31745" w:rsidR="00D3262F" w:rsidRPr="008A37AD" w:rsidRDefault="00C40C1A" w:rsidP="00D3262F">
          <w:pPr>
            <w:spacing w:after="0"/>
            <w:jc w:val="center"/>
            <w:rPr>
              <w:rFonts w:ascii="Calibri" w:hAnsi="Calibri"/>
              <w:sz w:val="16"/>
              <w:szCs w:val="16"/>
              <w:lang w:val="lt-LT"/>
            </w:rPr>
          </w:pPr>
          <w:r>
            <w:rPr>
              <w:rFonts w:ascii="Calibri" w:hAnsi="Calibri"/>
              <w:sz w:val="16"/>
              <w:szCs w:val="16"/>
              <w:lang w:val="lt-LT"/>
            </w:rPr>
            <w:t>Teisės skyrius</w:t>
          </w:r>
        </w:p>
      </w:tc>
      <w:tc>
        <w:tcPr>
          <w:tcW w:w="2835" w:type="dxa"/>
          <w:shd w:val="clear" w:color="auto" w:fill="D9D9D9" w:themeFill="background1" w:themeFillShade="D9"/>
        </w:tcPr>
        <w:p w14:paraId="1806200D" w14:textId="7E572375" w:rsidR="00D3262F" w:rsidRPr="00F57961" w:rsidRDefault="00C40C1A" w:rsidP="00D3262F">
          <w:pPr>
            <w:spacing w:after="0"/>
            <w:jc w:val="center"/>
            <w:rPr>
              <w:rFonts w:ascii="Calibri" w:hAnsi="Calibri"/>
              <w:sz w:val="16"/>
              <w:szCs w:val="16"/>
              <w:highlight w:val="yellow"/>
              <w:lang w:val="lt-LT"/>
            </w:rPr>
          </w:pPr>
          <w:r w:rsidRPr="00C40C1A">
            <w:rPr>
              <w:rFonts w:ascii="Calibri" w:hAnsi="Calibri"/>
              <w:sz w:val="16"/>
              <w:szCs w:val="16"/>
              <w:lang w:val="lt-LT"/>
            </w:rPr>
            <w:t xml:space="preserve">2022 m. kovo 17 d. </w:t>
          </w:r>
          <w:r w:rsidR="00D60751">
            <w:rPr>
              <w:rFonts w:ascii="Calibri" w:hAnsi="Calibri"/>
              <w:sz w:val="16"/>
              <w:szCs w:val="16"/>
              <w:lang w:val="lt-LT"/>
            </w:rPr>
            <w:t xml:space="preserve">valdybos posėdžio protokolas </w:t>
          </w:r>
          <w:r w:rsidRPr="00C40C1A">
            <w:rPr>
              <w:rFonts w:ascii="Calibri" w:hAnsi="Calibri"/>
              <w:sz w:val="16"/>
              <w:szCs w:val="16"/>
              <w:lang w:val="lt-LT"/>
            </w:rPr>
            <w:t>Nr. PR-V22-4</w:t>
          </w:r>
        </w:p>
      </w:tc>
      <w:tc>
        <w:tcPr>
          <w:tcW w:w="1277" w:type="dxa"/>
          <w:shd w:val="clear" w:color="auto" w:fill="D9D9D9" w:themeFill="background1" w:themeFillShade="D9"/>
        </w:tcPr>
        <w:p w14:paraId="3E083E8E" w14:textId="55E59E19" w:rsidR="00D3262F" w:rsidRPr="00F57961" w:rsidRDefault="00C40C1A" w:rsidP="00D3262F">
          <w:pPr>
            <w:spacing w:after="0"/>
            <w:jc w:val="center"/>
            <w:rPr>
              <w:rFonts w:ascii="Calibri" w:hAnsi="Calibri"/>
              <w:sz w:val="16"/>
              <w:szCs w:val="16"/>
              <w:highlight w:val="yellow"/>
              <w:lang w:val="lt-LT"/>
            </w:rPr>
          </w:pPr>
          <w:r w:rsidRPr="00C40C1A">
            <w:rPr>
              <w:rFonts w:ascii="Calibri" w:hAnsi="Calibri"/>
              <w:sz w:val="16"/>
              <w:szCs w:val="16"/>
              <w:lang w:val="lt-LT"/>
            </w:rPr>
            <w:t>Patvirtinta</w:t>
          </w:r>
        </w:p>
      </w:tc>
      <w:tc>
        <w:tcPr>
          <w:tcW w:w="1275" w:type="dxa"/>
          <w:shd w:val="clear" w:color="auto" w:fill="D9D9D9" w:themeFill="background1" w:themeFillShade="D9"/>
        </w:tcPr>
        <w:p w14:paraId="5D54B164" w14:textId="77777777" w:rsidR="00D3262F" w:rsidRPr="008A37AD" w:rsidRDefault="00D3262F" w:rsidP="00D3262F">
          <w:pPr>
            <w:spacing w:after="0"/>
            <w:jc w:val="center"/>
            <w:rPr>
              <w:rFonts w:ascii="Calibri" w:hAnsi="Calibri" w:cs="Calibri"/>
              <w:bCs/>
              <w:sz w:val="16"/>
              <w:szCs w:val="16"/>
              <w:lang w:val="lt-LT"/>
            </w:rPr>
          </w:pP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PAGE</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sidRPr="008A37AD">
            <w:rPr>
              <w:rFonts w:ascii="Calibri" w:hAnsi="Calibri" w:cs="Calibri"/>
              <w:sz w:val="16"/>
              <w:szCs w:val="16"/>
              <w:lang w:val="lt-LT"/>
            </w:rPr>
            <w:t xml:space="preserve"> iš </w:t>
          </w: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NUMPAGES</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Pr>
              <w:rFonts w:ascii="Calibri" w:hAnsi="Calibri" w:cs="Calibri"/>
              <w:bCs/>
              <w:sz w:val="16"/>
              <w:szCs w:val="16"/>
              <w:lang w:val="lt-LT"/>
            </w:rPr>
            <w:t xml:space="preserve"> </w:t>
          </w:r>
        </w:p>
      </w:tc>
    </w:tr>
  </w:tbl>
  <w:p w14:paraId="57B1A41B" w14:textId="77777777" w:rsidR="00D3262F" w:rsidRPr="00D3262F" w:rsidRDefault="00D32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C81C3"/>
    <w:multiLevelType w:val="hybridMultilevel"/>
    <w:tmpl w:val="DAC963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E5F6EE"/>
    <w:multiLevelType w:val="hybridMultilevel"/>
    <w:tmpl w:val="37E8C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3" w15:restartNumberingAfterBreak="0">
    <w:nsid w:val="07AC02CE"/>
    <w:multiLevelType w:val="hybridMultilevel"/>
    <w:tmpl w:val="69EE5676"/>
    <w:lvl w:ilvl="0" w:tplc="8EFE43E0">
      <w:start w:val="11"/>
      <w:numFmt w:val="bullet"/>
      <w:lvlText w:val="-"/>
      <w:lvlJc w:val="left"/>
      <w:pPr>
        <w:ind w:left="1080" w:hanging="360"/>
      </w:pPr>
      <w:rPr>
        <w:rFonts w:ascii="Times New Roman" w:eastAsia="Times New Roman" w:hAnsi="Times New Roman" w:cs="Times New Roman" w:hint="default"/>
        <w:color w:val="auto"/>
        <w:sz w:val="24"/>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5"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93C2AC5"/>
    <w:multiLevelType w:val="hybridMultilevel"/>
    <w:tmpl w:val="A53A42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7D52CC1"/>
    <w:multiLevelType w:val="hybridMultilevel"/>
    <w:tmpl w:val="35C511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9E8DD62"/>
    <w:multiLevelType w:val="hybridMultilevel"/>
    <w:tmpl w:val="8E9CE9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EB49BC"/>
    <w:multiLevelType w:val="hybridMultilevel"/>
    <w:tmpl w:val="31D064B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1818CDE4">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11529C"/>
    <w:multiLevelType w:val="multilevel"/>
    <w:tmpl w:val="5A7CD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407204DB"/>
    <w:multiLevelType w:val="multilevel"/>
    <w:tmpl w:val="490E1204"/>
    <w:lvl w:ilvl="0">
      <w:start w:val="1"/>
      <w:numFmt w:val="decimal"/>
      <w:lvlText w:val="%1."/>
      <w:lvlJc w:val="left"/>
      <w:pPr>
        <w:ind w:left="720" w:hanging="360"/>
      </w:pPr>
      <w:rPr>
        <w:b/>
      </w:rPr>
    </w:lvl>
    <w:lvl w:ilvl="1">
      <w:start w:val="1"/>
      <w:numFmt w:val="decimal"/>
      <w:isLgl/>
      <w:lvlText w:val="%1.%2."/>
      <w:lvlJc w:val="left"/>
      <w:pPr>
        <w:ind w:left="958" w:hanging="390"/>
      </w:pPr>
      <w:rPr>
        <w:rFonts w:asciiTheme="majorHAnsi" w:hAnsiTheme="majorHAnsi" w:cstheme="majorHAnsi" w:hint="default"/>
        <w:b w:val="0"/>
        <w:bCs w:val="0"/>
        <w:color w:val="auto"/>
        <w:sz w:val="22"/>
        <w:szCs w:val="22"/>
      </w:rPr>
    </w:lvl>
    <w:lvl w:ilvl="2">
      <w:start w:val="1"/>
      <w:numFmt w:val="decimal"/>
      <w:isLgl/>
      <w:lvlText w:val="%1.%2.%3."/>
      <w:lvlJc w:val="left"/>
      <w:pPr>
        <w:ind w:left="1494" w:hanging="720"/>
      </w:pPr>
      <w:rPr>
        <w:rFonts w:asciiTheme="majorHAnsi" w:hAnsiTheme="majorHAnsi" w:cstheme="majorHAnsi" w:hint="default"/>
        <w:b w:val="0"/>
        <w:bCs/>
        <w:color w:val="auto"/>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15" w15:restartNumberingAfterBreak="0">
    <w:nsid w:val="540D4442"/>
    <w:multiLevelType w:val="hybridMultilevel"/>
    <w:tmpl w:val="A9AA49C6"/>
    <w:lvl w:ilvl="0" w:tplc="E31C53D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95A223A"/>
    <w:multiLevelType w:val="hybridMultilevel"/>
    <w:tmpl w:val="B93CA0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20"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21"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2"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24" w15:restartNumberingAfterBreak="0">
    <w:nsid w:val="76486903"/>
    <w:multiLevelType w:val="hybridMultilevel"/>
    <w:tmpl w:val="E5408A5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26"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27"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1"/>
  </w:num>
  <w:num w:numId="2">
    <w:abstractNumId w:val="5"/>
  </w:num>
  <w:num w:numId="3">
    <w:abstractNumId w:val="7"/>
  </w:num>
  <w:num w:numId="4">
    <w:abstractNumId w:val="18"/>
  </w:num>
  <w:num w:numId="5">
    <w:abstractNumId w:val="26"/>
  </w:num>
  <w:num w:numId="6">
    <w:abstractNumId w:val="14"/>
  </w:num>
  <w:num w:numId="7">
    <w:abstractNumId w:val="23"/>
  </w:num>
  <w:num w:numId="8">
    <w:abstractNumId w:val="16"/>
  </w:num>
  <w:num w:numId="9">
    <w:abstractNumId w:val="20"/>
  </w:num>
  <w:num w:numId="10">
    <w:abstractNumId w:val="11"/>
  </w:num>
  <w:num w:numId="11">
    <w:abstractNumId w:val="19"/>
  </w:num>
  <w:num w:numId="12">
    <w:abstractNumId w:val="25"/>
  </w:num>
  <w:num w:numId="13">
    <w:abstractNumId w:val="4"/>
  </w:num>
  <w:num w:numId="14">
    <w:abstractNumId w:val="22"/>
  </w:num>
  <w:num w:numId="15">
    <w:abstractNumId w:val="2"/>
  </w:num>
  <w:num w:numId="16">
    <w:abstractNumId w:val="10"/>
  </w:num>
  <w:num w:numId="17">
    <w:abstractNumId w:val="27"/>
  </w:num>
  <w:num w:numId="18">
    <w:abstractNumId w:val="13"/>
  </w:num>
  <w:num w:numId="19">
    <w:abstractNumId w:val="17"/>
  </w:num>
  <w:num w:numId="20">
    <w:abstractNumId w:val="15"/>
  </w:num>
  <w:num w:numId="21">
    <w:abstractNumId w:val="12"/>
  </w:num>
  <w:num w:numId="22">
    <w:abstractNumId w:val="6"/>
  </w:num>
  <w:num w:numId="23">
    <w:abstractNumId w:val="2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num>
  <w:num w:numId="27">
    <w:abstractNumId w:val="1"/>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1tDA2tzC3NDQG0ko6SsGpxcWZ+XkgBYa1AGP89lgsAAAA"/>
  </w:docVars>
  <w:rsids>
    <w:rsidRoot w:val="00905004"/>
    <w:rsid w:val="00003D29"/>
    <w:rsid w:val="00005B2C"/>
    <w:rsid w:val="00011E61"/>
    <w:rsid w:val="000215B9"/>
    <w:rsid w:val="000233B1"/>
    <w:rsid w:val="00023AC9"/>
    <w:rsid w:val="000247C2"/>
    <w:rsid w:val="00030772"/>
    <w:rsid w:val="00036C29"/>
    <w:rsid w:val="00045D2A"/>
    <w:rsid w:val="000479C2"/>
    <w:rsid w:val="00047D14"/>
    <w:rsid w:val="00050FBB"/>
    <w:rsid w:val="0005751A"/>
    <w:rsid w:val="00057BEB"/>
    <w:rsid w:val="00065557"/>
    <w:rsid w:val="00071AE5"/>
    <w:rsid w:val="00072467"/>
    <w:rsid w:val="00076F48"/>
    <w:rsid w:val="000833AE"/>
    <w:rsid w:val="00087BD4"/>
    <w:rsid w:val="00090335"/>
    <w:rsid w:val="000933C5"/>
    <w:rsid w:val="00097624"/>
    <w:rsid w:val="000A303E"/>
    <w:rsid w:val="000A6C08"/>
    <w:rsid w:val="000B2182"/>
    <w:rsid w:val="000B2B5C"/>
    <w:rsid w:val="000C0693"/>
    <w:rsid w:val="000C4047"/>
    <w:rsid w:val="000C4DE2"/>
    <w:rsid w:val="000D2063"/>
    <w:rsid w:val="000D781C"/>
    <w:rsid w:val="000E0593"/>
    <w:rsid w:val="000E0D79"/>
    <w:rsid w:val="000E169C"/>
    <w:rsid w:val="000F1615"/>
    <w:rsid w:val="000F2DD9"/>
    <w:rsid w:val="000F4692"/>
    <w:rsid w:val="000F5B4F"/>
    <w:rsid w:val="000F721F"/>
    <w:rsid w:val="000F752C"/>
    <w:rsid w:val="0010073A"/>
    <w:rsid w:val="0010146C"/>
    <w:rsid w:val="001020CB"/>
    <w:rsid w:val="00104585"/>
    <w:rsid w:val="00106746"/>
    <w:rsid w:val="001100F6"/>
    <w:rsid w:val="001112E3"/>
    <w:rsid w:val="001117B2"/>
    <w:rsid w:val="0011445A"/>
    <w:rsid w:val="00117ECE"/>
    <w:rsid w:val="001207BC"/>
    <w:rsid w:val="00122032"/>
    <w:rsid w:val="001252A2"/>
    <w:rsid w:val="00125CFF"/>
    <w:rsid w:val="001300AB"/>
    <w:rsid w:val="00132799"/>
    <w:rsid w:val="00135A97"/>
    <w:rsid w:val="001413F9"/>
    <w:rsid w:val="00154EAF"/>
    <w:rsid w:val="00162959"/>
    <w:rsid w:val="00170189"/>
    <w:rsid w:val="0017444D"/>
    <w:rsid w:val="001815E2"/>
    <w:rsid w:val="00183ACD"/>
    <w:rsid w:val="0018500F"/>
    <w:rsid w:val="00193D51"/>
    <w:rsid w:val="00194F21"/>
    <w:rsid w:val="00196D4E"/>
    <w:rsid w:val="001A7E0E"/>
    <w:rsid w:val="001B1734"/>
    <w:rsid w:val="001B44A6"/>
    <w:rsid w:val="001B6BA9"/>
    <w:rsid w:val="001B7250"/>
    <w:rsid w:val="001B7A85"/>
    <w:rsid w:val="001C029B"/>
    <w:rsid w:val="001C2A48"/>
    <w:rsid w:val="001C37F1"/>
    <w:rsid w:val="001C403C"/>
    <w:rsid w:val="001D12D0"/>
    <w:rsid w:val="001D26AB"/>
    <w:rsid w:val="001D43C3"/>
    <w:rsid w:val="001E592A"/>
    <w:rsid w:val="001E74B7"/>
    <w:rsid w:val="001F70BA"/>
    <w:rsid w:val="002052E9"/>
    <w:rsid w:val="00205C1F"/>
    <w:rsid w:val="0021073A"/>
    <w:rsid w:val="00217A98"/>
    <w:rsid w:val="0022087F"/>
    <w:rsid w:val="00227B3B"/>
    <w:rsid w:val="00235711"/>
    <w:rsid w:val="00235A7A"/>
    <w:rsid w:val="00242051"/>
    <w:rsid w:val="002461F3"/>
    <w:rsid w:val="00250D34"/>
    <w:rsid w:val="00255419"/>
    <w:rsid w:val="00256BFD"/>
    <w:rsid w:val="00256C7D"/>
    <w:rsid w:val="00260D8F"/>
    <w:rsid w:val="0026191A"/>
    <w:rsid w:val="0026403C"/>
    <w:rsid w:val="0026669F"/>
    <w:rsid w:val="0027040D"/>
    <w:rsid w:val="00274030"/>
    <w:rsid w:val="00276F3F"/>
    <w:rsid w:val="00277364"/>
    <w:rsid w:val="00282AB6"/>
    <w:rsid w:val="00283E1B"/>
    <w:rsid w:val="002902D9"/>
    <w:rsid w:val="0029744E"/>
    <w:rsid w:val="00297A98"/>
    <w:rsid w:val="00297C3D"/>
    <w:rsid w:val="002A3F2D"/>
    <w:rsid w:val="002A4023"/>
    <w:rsid w:val="002A5B7B"/>
    <w:rsid w:val="002A75E5"/>
    <w:rsid w:val="002B01E2"/>
    <w:rsid w:val="002B0996"/>
    <w:rsid w:val="002B53D4"/>
    <w:rsid w:val="002C42B0"/>
    <w:rsid w:val="002C5A15"/>
    <w:rsid w:val="002D2A8A"/>
    <w:rsid w:val="002E29E5"/>
    <w:rsid w:val="002E56A3"/>
    <w:rsid w:val="002F0662"/>
    <w:rsid w:val="002F16AE"/>
    <w:rsid w:val="002F1AAE"/>
    <w:rsid w:val="002F2CE5"/>
    <w:rsid w:val="00302EA9"/>
    <w:rsid w:val="003061AF"/>
    <w:rsid w:val="00320145"/>
    <w:rsid w:val="00330E37"/>
    <w:rsid w:val="00334D2E"/>
    <w:rsid w:val="00342A3F"/>
    <w:rsid w:val="00347684"/>
    <w:rsid w:val="00350627"/>
    <w:rsid w:val="00351F43"/>
    <w:rsid w:val="0035510C"/>
    <w:rsid w:val="00360172"/>
    <w:rsid w:val="00373153"/>
    <w:rsid w:val="003761AC"/>
    <w:rsid w:val="003813F3"/>
    <w:rsid w:val="003825C8"/>
    <w:rsid w:val="003834ED"/>
    <w:rsid w:val="00386073"/>
    <w:rsid w:val="00387DCB"/>
    <w:rsid w:val="00396893"/>
    <w:rsid w:val="003A03B8"/>
    <w:rsid w:val="003A07A5"/>
    <w:rsid w:val="003A137D"/>
    <w:rsid w:val="003A4CD0"/>
    <w:rsid w:val="003B6241"/>
    <w:rsid w:val="003B7F53"/>
    <w:rsid w:val="003C16F6"/>
    <w:rsid w:val="003C3311"/>
    <w:rsid w:val="003C478B"/>
    <w:rsid w:val="003C5F46"/>
    <w:rsid w:val="003C6BAA"/>
    <w:rsid w:val="003E4020"/>
    <w:rsid w:val="003E5511"/>
    <w:rsid w:val="003E6154"/>
    <w:rsid w:val="003F1A48"/>
    <w:rsid w:val="003F24D4"/>
    <w:rsid w:val="003F50CA"/>
    <w:rsid w:val="003F5ED4"/>
    <w:rsid w:val="003F5FBA"/>
    <w:rsid w:val="0040275A"/>
    <w:rsid w:val="00402CEE"/>
    <w:rsid w:val="00405A13"/>
    <w:rsid w:val="004071D1"/>
    <w:rsid w:val="00411B8F"/>
    <w:rsid w:val="00413AED"/>
    <w:rsid w:val="00417303"/>
    <w:rsid w:val="00421462"/>
    <w:rsid w:val="0042492B"/>
    <w:rsid w:val="00427235"/>
    <w:rsid w:val="004273E3"/>
    <w:rsid w:val="00433899"/>
    <w:rsid w:val="00437B7E"/>
    <w:rsid w:val="00442A02"/>
    <w:rsid w:val="004439BF"/>
    <w:rsid w:val="00443AE6"/>
    <w:rsid w:val="0045064B"/>
    <w:rsid w:val="004523BC"/>
    <w:rsid w:val="00453CB2"/>
    <w:rsid w:val="00461280"/>
    <w:rsid w:val="00461751"/>
    <w:rsid w:val="00464B36"/>
    <w:rsid w:val="00471CA6"/>
    <w:rsid w:val="00476303"/>
    <w:rsid w:val="004802E3"/>
    <w:rsid w:val="004804A1"/>
    <w:rsid w:val="0049184D"/>
    <w:rsid w:val="00493E77"/>
    <w:rsid w:val="00494B87"/>
    <w:rsid w:val="004966F1"/>
    <w:rsid w:val="00497114"/>
    <w:rsid w:val="004A5293"/>
    <w:rsid w:val="004A5502"/>
    <w:rsid w:val="004B0213"/>
    <w:rsid w:val="004B080F"/>
    <w:rsid w:val="004C186C"/>
    <w:rsid w:val="004D46F5"/>
    <w:rsid w:val="004D6AF4"/>
    <w:rsid w:val="004E0BEC"/>
    <w:rsid w:val="004E1BCF"/>
    <w:rsid w:val="004E5A08"/>
    <w:rsid w:val="004E60EB"/>
    <w:rsid w:val="004E67DB"/>
    <w:rsid w:val="004F2E32"/>
    <w:rsid w:val="004F66F3"/>
    <w:rsid w:val="004F750B"/>
    <w:rsid w:val="00506F63"/>
    <w:rsid w:val="00516369"/>
    <w:rsid w:val="0052450E"/>
    <w:rsid w:val="00540964"/>
    <w:rsid w:val="00543D55"/>
    <w:rsid w:val="00554F46"/>
    <w:rsid w:val="00556AFB"/>
    <w:rsid w:val="0055745A"/>
    <w:rsid w:val="005623CC"/>
    <w:rsid w:val="0056345F"/>
    <w:rsid w:val="0056776C"/>
    <w:rsid w:val="00572896"/>
    <w:rsid w:val="005740BE"/>
    <w:rsid w:val="00584A44"/>
    <w:rsid w:val="00592859"/>
    <w:rsid w:val="00593570"/>
    <w:rsid w:val="00594FEB"/>
    <w:rsid w:val="0059629D"/>
    <w:rsid w:val="005A76B6"/>
    <w:rsid w:val="005A7701"/>
    <w:rsid w:val="005B706C"/>
    <w:rsid w:val="005C0D2A"/>
    <w:rsid w:val="005C2A55"/>
    <w:rsid w:val="005C30F6"/>
    <w:rsid w:val="005C3412"/>
    <w:rsid w:val="005C6B7A"/>
    <w:rsid w:val="005D5D43"/>
    <w:rsid w:val="005F4970"/>
    <w:rsid w:val="00600517"/>
    <w:rsid w:val="00601612"/>
    <w:rsid w:val="006047CD"/>
    <w:rsid w:val="00606AFC"/>
    <w:rsid w:val="00610395"/>
    <w:rsid w:val="00616B0F"/>
    <w:rsid w:val="0062152D"/>
    <w:rsid w:val="00621F04"/>
    <w:rsid w:val="00622358"/>
    <w:rsid w:val="00622786"/>
    <w:rsid w:val="00622966"/>
    <w:rsid w:val="00622B71"/>
    <w:rsid w:val="00625145"/>
    <w:rsid w:val="0063579A"/>
    <w:rsid w:val="00640985"/>
    <w:rsid w:val="00640A4E"/>
    <w:rsid w:val="006434EE"/>
    <w:rsid w:val="00643986"/>
    <w:rsid w:val="006458F2"/>
    <w:rsid w:val="00647822"/>
    <w:rsid w:val="00651F72"/>
    <w:rsid w:val="00653BC8"/>
    <w:rsid w:val="00660489"/>
    <w:rsid w:val="0066441E"/>
    <w:rsid w:val="00665601"/>
    <w:rsid w:val="0067098F"/>
    <w:rsid w:val="00670EAB"/>
    <w:rsid w:val="00672F6B"/>
    <w:rsid w:val="00674DA9"/>
    <w:rsid w:val="006873A2"/>
    <w:rsid w:val="006924D9"/>
    <w:rsid w:val="0069367C"/>
    <w:rsid w:val="00693E0A"/>
    <w:rsid w:val="00694C22"/>
    <w:rsid w:val="0069700F"/>
    <w:rsid w:val="006A2ACC"/>
    <w:rsid w:val="006A6808"/>
    <w:rsid w:val="006A72FF"/>
    <w:rsid w:val="006A7E68"/>
    <w:rsid w:val="006B097E"/>
    <w:rsid w:val="006B1E94"/>
    <w:rsid w:val="006B2566"/>
    <w:rsid w:val="006B51DB"/>
    <w:rsid w:val="006B72D0"/>
    <w:rsid w:val="006C51A8"/>
    <w:rsid w:val="006C5381"/>
    <w:rsid w:val="006C5AFC"/>
    <w:rsid w:val="006D1592"/>
    <w:rsid w:val="006D27B4"/>
    <w:rsid w:val="006D4076"/>
    <w:rsid w:val="006D7AFD"/>
    <w:rsid w:val="006E023D"/>
    <w:rsid w:val="006E4089"/>
    <w:rsid w:val="006E5799"/>
    <w:rsid w:val="006E5EFB"/>
    <w:rsid w:val="006E710B"/>
    <w:rsid w:val="006F1BB1"/>
    <w:rsid w:val="006F2899"/>
    <w:rsid w:val="006F4D1F"/>
    <w:rsid w:val="006F5121"/>
    <w:rsid w:val="00704D62"/>
    <w:rsid w:val="007206CB"/>
    <w:rsid w:val="00722939"/>
    <w:rsid w:val="00725BF5"/>
    <w:rsid w:val="00726D9F"/>
    <w:rsid w:val="00730932"/>
    <w:rsid w:val="0073240F"/>
    <w:rsid w:val="00734661"/>
    <w:rsid w:val="00735380"/>
    <w:rsid w:val="00737124"/>
    <w:rsid w:val="007378F0"/>
    <w:rsid w:val="00740339"/>
    <w:rsid w:val="007447FC"/>
    <w:rsid w:val="00745AE0"/>
    <w:rsid w:val="00745BF6"/>
    <w:rsid w:val="007557A4"/>
    <w:rsid w:val="00763D31"/>
    <w:rsid w:val="0076403B"/>
    <w:rsid w:val="00771395"/>
    <w:rsid w:val="00775216"/>
    <w:rsid w:val="00775C09"/>
    <w:rsid w:val="00782150"/>
    <w:rsid w:val="007823FC"/>
    <w:rsid w:val="007923DD"/>
    <w:rsid w:val="00792575"/>
    <w:rsid w:val="00794842"/>
    <w:rsid w:val="00795689"/>
    <w:rsid w:val="00796776"/>
    <w:rsid w:val="007974ED"/>
    <w:rsid w:val="00797F8A"/>
    <w:rsid w:val="007A2164"/>
    <w:rsid w:val="007B072E"/>
    <w:rsid w:val="007B0D56"/>
    <w:rsid w:val="007B11E4"/>
    <w:rsid w:val="007B4ABA"/>
    <w:rsid w:val="007C28B3"/>
    <w:rsid w:val="007C3511"/>
    <w:rsid w:val="007D029C"/>
    <w:rsid w:val="007D0346"/>
    <w:rsid w:val="007D35C1"/>
    <w:rsid w:val="007D497D"/>
    <w:rsid w:val="007D578C"/>
    <w:rsid w:val="007D61C7"/>
    <w:rsid w:val="007E2C6C"/>
    <w:rsid w:val="007E4198"/>
    <w:rsid w:val="007E5DBB"/>
    <w:rsid w:val="007F5F40"/>
    <w:rsid w:val="00801B1F"/>
    <w:rsid w:val="00807C45"/>
    <w:rsid w:val="008250AA"/>
    <w:rsid w:val="00826B44"/>
    <w:rsid w:val="00834491"/>
    <w:rsid w:val="00835315"/>
    <w:rsid w:val="00836E91"/>
    <w:rsid w:val="008417BA"/>
    <w:rsid w:val="00841A04"/>
    <w:rsid w:val="00842570"/>
    <w:rsid w:val="00844831"/>
    <w:rsid w:val="00844BC9"/>
    <w:rsid w:val="00844EBD"/>
    <w:rsid w:val="00850250"/>
    <w:rsid w:val="00850B5B"/>
    <w:rsid w:val="00850F87"/>
    <w:rsid w:val="00851B03"/>
    <w:rsid w:val="00853B03"/>
    <w:rsid w:val="00854245"/>
    <w:rsid w:val="00856C21"/>
    <w:rsid w:val="0085765D"/>
    <w:rsid w:val="00857A23"/>
    <w:rsid w:val="00863B82"/>
    <w:rsid w:val="00873653"/>
    <w:rsid w:val="00891841"/>
    <w:rsid w:val="00894F00"/>
    <w:rsid w:val="00896B07"/>
    <w:rsid w:val="008A0ADA"/>
    <w:rsid w:val="008A1911"/>
    <w:rsid w:val="008A37AD"/>
    <w:rsid w:val="008A6D2E"/>
    <w:rsid w:val="008B09F5"/>
    <w:rsid w:val="008B151B"/>
    <w:rsid w:val="008B387E"/>
    <w:rsid w:val="008B5F14"/>
    <w:rsid w:val="008C09A9"/>
    <w:rsid w:val="008C253E"/>
    <w:rsid w:val="008C3E0C"/>
    <w:rsid w:val="008C6059"/>
    <w:rsid w:val="008F25AC"/>
    <w:rsid w:val="008F2EAC"/>
    <w:rsid w:val="00900579"/>
    <w:rsid w:val="00903B8A"/>
    <w:rsid w:val="00905004"/>
    <w:rsid w:val="00911858"/>
    <w:rsid w:val="0091365C"/>
    <w:rsid w:val="00920EAC"/>
    <w:rsid w:val="009222CF"/>
    <w:rsid w:val="00925DD0"/>
    <w:rsid w:val="00927745"/>
    <w:rsid w:val="00940F92"/>
    <w:rsid w:val="00944F3E"/>
    <w:rsid w:val="00962052"/>
    <w:rsid w:val="00962E0C"/>
    <w:rsid w:val="00972B5C"/>
    <w:rsid w:val="00973B40"/>
    <w:rsid w:val="00976B7C"/>
    <w:rsid w:val="00980E18"/>
    <w:rsid w:val="00985C62"/>
    <w:rsid w:val="00986FFB"/>
    <w:rsid w:val="009944B7"/>
    <w:rsid w:val="009A05A9"/>
    <w:rsid w:val="009A6467"/>
    <w:rsid w:val="009A6CC4"/>
    <w:rsid w:val="009B08AC"/>
    <w:rsid w:val="009B0F2D"/>
    <w:rsid w:val="009B18D5"/>
    <w:rsid w:val="009B1CD6"/>
    <w:rsid w:val="009B467F"/>
    <w:rsid w:val="009C25B0"/>
    <w:rsid w:val="009C2A3B"/>
    <w:rsid w:val="009C3D43"/>
    <w:rsid w:val="009C6DD9"/>
    <w:rsid w:val="009D40AD"/>
    <w:rsid w:val="009D499C"/>
    <w:rsid w:val="009D52DB"/>
    <w:rsid w:val="009E1D55"/>
    <w:rsid w:val="009E20B0"/>
    <w:rsid w:val="009E3F17"/>
    <w:rsid w:val="009E49AD"/>
    <w:rsid w:val="009E6CAD"/>
    <w:rsid w:val="009F1012"/>
    <w:rsid w:val="009F14D8"/>
    <w:rsid w:val="009F652A"/>
    <w:rsid w:val="009F7615"/>
    <w:rsid w:val="00A06B0A"/>
    <w:rsid w:val="00A129EC"/>
    <w:rsid w:val="00A1441C"/>
    <w:rsid w:val="00A144B7"/>
    <w:rsid w:val="00A1711C"/>
    <w:rsid w:val="00A20641"/>
    <w:rsid w:val="00A21865"/>
    <w:rsid w:val="00A23DE3"/>
    <w:rsid w:val="00A23DF2"/>
    <w:rsid w:val="00A24A3D"/>
    <w:rsid w:val="00A26ED9"/>
    <w:rsid w:val="00A27140"/>
    <w:rsid w:val="00A37F06"/>
    <w:rsid w:val="00A41A97"/>
    <w:rsid w:val="00A42B5C"/>
    <w:rsid w:val="00A43551"/>
    <w:rsid w:val="00A44A42"/>
    <w:rsid w:val="00A512C6"/>
    <w:rsid w:val="00A519FC"/>
    <w:rsid w:val="00A57ADC"/>
    <w:rsid w:val="00A61E3D"/>
    <w:rsid w:val="00A62E9F"/>
    <w:rsid w:val="00A67034"/>
    <w:rsid w:val="00A67C89"/>
    <w:rsid w:val="00A728E7"/>
    <w:rsid w:val="00A72DA7"/>
    <w:rsid w:val="00A81D5E"/>
    <w:rsid w:val="00A8510B"/>
    <w:rsid w:val="00A93E27"/>
    <w:rsid w:val="00A94CAB"/>
    <w:rsid w:val="00A94FBD"/>
    <w:rsid w:val="00A96483"/>
    <w:rsid w:val="00AA3635"/>
    <w:rsid w:val="00AB087A"/>
    <w:rsid w:val="00AB3990"/>
    <w:rsid w:val="00AC58DB"/>
    <w:rsid w:val="00AC63FE"/>
    <w:rsid w:val="00AC71E4"/>
    <w:rsid w:val="00AD22DC"/>
    <w:rsid w:val="00AD3762"/>
    <w:rsid w:val="00AD3AC2"/>
    <w:rsid w:val="00AD4573"/>
    <w:rsid w:val="00AD4DD3"/>
    <w:rsid w:val="00AE203D"/>
    <w:rsid w:val="00AE6F32"/>
    <w:rsid w:val="00AF3833"/>
    <w:rsid w:val="00AF7176"/>
    <w:rsid w:val="00B03501"/>
    <w:rsid w:val="00B03972"/>
    <w:rsid w:val="00B10F08"/>
    <w:rsid w:val="00B14E52"/>
    <w:rsid w:val="00B204EC"/>
    <w:rsid w:val="00B231EC"/>
    <w:rsid w:val="00B23B7E"/>
    <w:rsid w:val="00B27E33"/>
    <w:rsid w:val="00B37DEE"/>
    <w:rsid w:val="00B42C94"/>
    <w:rsid w:val="00B444DD"/>
    <w:rsid w:val="00B47D04"/>
    <w:rsid w:val="00B519F9"/>
    <w:rsid w:val="00B51C8E"/>
    <w:rsid w:val="00B54202"/>
    <w:rsid w:val="00B602C0"/>
    <w:rsid w:val="00B6354A"/>
    <w:rsid w:val="00B64F32"/>
    <w:rsid w:val="00B83D8C"/>
    <w:rsid w:val="00B85AFA"/>
    <w:rsid w:val="00B85C10"/>
    <w:rsid w:val="00B85E29"/>
    <w:rsid w:val="00B93B81"/>
    <w:rsid w:val="00B93E6E"/>
    <w:rsid w:val="00B94A29"/>
    <w:rsid w:val="00B953C4"/>
    <w:rsid w:val="00B96D9D"/>
    <w:rsid w:val="00B97A9F"/>
    <w:rsid w:val="00BA03EA"/>
    <w:rsid w:val="00BA7610"/>
    <w:rsid w:val="00BD01B9"/>
    <w:rsid w:val="00BD1D99"/>
    <w:rsid w:val="00BD4E39"/>
    <w:rsid w:val="00BD7515"/>
    <w:rsid w:val="00BF4827"/>
    <w:rsid w:val="00BF4BFF"/>
    <w:rsid w:val="00BF53CB"/>
    <w:rsid w:val="00BF7714"/>
    <w:rsid w:val="00C05B66"/>
    <w:rsid w:val="00C1281C"/>
    <w:rsid w:val="00C13AFE"/>
    <w:rsid w:val="00C1467D"/>
    <w:rsid w:val="00C23FA1"/>
    <w:rsid w:val="00C242F4"/>
    <w:rsid w:val="00C24A4A"/>
    <w:rsid w:val="00C3130E"/>
    <w:rsid w:val="00C3192B"/>
    <w:rsid w:val="00C32598"/>
    <w:rsid w:val="00C35EEF"/>
    <w:rsid w:val="00C40C1A"/>
    <w:rsid w:val="00C44BEE"/>
    <w:rsid w:val="00C46221"/>
    <w:rsid w:val="00C47475"/>
    <w:rsid w:val="00C5066E"/>
    <w:rsid w:val="00C540C3"/>
    <w:rsid w:val="00C55AEE"/>
    <w:rsid w:val="00C61246"/>
    <w:rsid w:val="00C64F52"/>
    <w:rsid w:val="00C65601"/>
    <w:rsid w:val="00C71B62"/>
    <w:rsid w:val="00C71EC8"/>
    <w:rsid w:val="00C720F3"/>
    <w:rsid w:val="00C72786"/>
    <w:rsid w:val="00C73008"/>
    <w:rsid w:val="00C80B70"/>
    <w:rsid w:val="00C81E7C"/>
    <w:rsid w:val="00C92F72"/>
    <w:rsid w:val="00CA0E91"/>
    <w:rsid w:val="00CA14E1"/>
    <w:rsid w:val="00CA4F74"/>
    <w:rsid w:val="00CB0EEB"/>
    <w:rsid w:val="00CB0F58"/>
    <w:rsid w:val="00CB26B5"/>
    <w:rsid w:val="00CB3461"/>
    <w:rsid w:val="00CB72CF"/>
    <w:rsid w:val="00CC4FCF"/>
    <w:rsid w:val="00CC588B"/>
    <w:rsid w:val="00CC6BA0"/>
    <w:rsid w:val="00CC7300"/>
    <w:rsid w:val="00CC764E"/>
    <w:rsid w:val="00CC7FB4"/>
    <w:rsid w:val="00CD0AA6"/>
    <w:rsid w:val="00CD1B83"/>
    <w:rsid w:val="00CD2791"/>
    <w:rsid w:val="00CD2AA1"/>
    <w:rsid w:val="00CD4770"/>
    <w:rsid w:val="00CD495A"/>
    <w:rsid w:val="00CD617B"/>
    <w:rsid w:val="00CE59BE"/>
    <w:rsid w:val="00CE772D"/>
    <w:rsid w:val="00CF0DDA"/>
    <w:rsid w:val="00D004B0"/>
    <w:rsid w:val="00D0361D"/>
    <w:rsid w:val="00D039BB"/>
    <w:rsid w:val="00D04665"/>
    <w:rsid w:val="00D05350"/>
    <w:rsid w:val="00D10CAB"/>
    <w:rsid w:val="00D12EDF"/>
    <w:rsid w:val="00D13908"/>
    <w:rsid w:val="00D14E71"/>
    <w:rsid w:val="00D20F46"/>
    <w:rsid w:val="00D24A95"/>
    <w:rsid w:val="00D24BD1"/>
    <w:rsid w:val="00D25284"/>
    <w:rsid w:val="00D3240A"/>
    <w:rsid w:val="00D3262F"/>
    <w:rsid w:val="00D35A08"/>
    <w:rsid w:val="00D42121"/>
    <w:rsid w:val="00D423E5"/>
    <w:rsid w:val="00D44D61"/>
    <w:rsid w:val="00D5020B"/>
    <w:rsid w:val="00D5315B"/>
    <w:rsid w:val="00D5380F"/>
    <w:rsid w:val="00D56F11"/>
    <w:rsid w:val="00D57658"/>
    <w:rsid w:val="00D60751"/>
    <w:rsid w:val="00D67FD2"/>
    <w:rsid w:val="00D702E1"/>
    <w:rsid w:val="00D70E1F"/>
    <w:rsid w:val="00D73D13"/>
    <w:rsid w:val="00D746FC"/>
    <w:rsid w:val="00D765DD"/>
    <w:rsid w:val="00D7694C"/>
    <w:rsid w:val="00D83313"/>
    <w:rsid w:val="00D8392A"/>
    <w:rsid w:val="00D91656"/>
    <w:rsid w:val="00D974C9"/>
    <w:rsid w:val="00D978B1"/>
    <w:rsid w:val="00DA2B00"/>
    <w:rsid w:val="00DA41B5"/>
    <w:rsid w:val="00DB6BF5"/>
    <w:rsid w:val="00DC0511"/>
    <w:rsid w:val="00DC0810"/>
    <w:rsid w:val="00DC1FDC"/>
    <w:rsid w:val="00DC2E39"/>
    <w:rsid w:val="00DC64A7"/>
    <w:rsid w:val="00DD1DA2"/>
    <w:rsid w:val="00DD257A"/>
    <w:rsid w:val="00DD26B5"/>
    <w:rsid w:val="00DD4901"/>
    <w:rsid w:val="00DE11D9"/>
    <w:rsid w:val="00DE23AB"/>
    <w:rsid w:val="00DE4963"/>
    <w:rsid w:val="00DE54E4"/>
    <w:rsid w:val="00DE55F2"/>
    <w:rsid w:val="00DF0FBD"/>
    <w:rsid w:val="00DF1307"/>
    <w:rsid w:val="00DF3271"/>
    <w:rsid w:val="00DF7C22"/>
    <w:rsid w:val="00E01B63"/>
    <w:rsid w:val="00E03E21"/>
    <w:rsid w:val="00E051EB"/>
    <w:rsid w:val="00E07D9C"/>
    <w:rsid w:val="00E13883"/>
    <w:rsid w:val="00E149DA"/>
    <w:rsid w:val="00E15A1D"/>
    <w:rsid w:val="00E16C61"/>
    <w:rsid w:val="00E17678"/>
    <w:rsid w:val="00E20086"/>
    <w:rsid w:val="00E22878"/>
    <w:rsid w:val="00E302BD"/>
    <w:rsid w:val="00E311C4"/>
    <w:rsid w:val="00E3127C"/>
    <w:rsid w:val="00E324BD"/>
    <w:rsid w:val="00E32D8D"/>
    <w:rsid w:val="00E43A48"/>
    <w:rsid w:val="00E464D7"/>
    <w:rsid w:val="00E50BF2"/>
    <w:rsid w:val="00E52273"/>
    <w:rsid w:val="00E5672D"/>
    <w:rsid w:val="00E57439"/>
    <w:rsid w:val="00E61521"/>
    <w:rsid w:val="00E6408B"/>
    <w:rsid w:val="00E66CAE"/>
    <w:rsid w:val="00E71302"/>
    <w:rsid w:val="00E73625"/>
    <w:rsid w:val="00E753B6"/>
    <w:rsid w:val="00E76B1D"/>
    <w:rsid w:val="00E8093D"/>
    <w:rsid w:val="00E836AF"/>
    <w:rsid w:val="00EA5F00"/>
    <w:rsid w:val="00EA7CAF"/>
    <w:rsid w:val="00EB522F"/>
    <w:rsid w:val="00EB5984"/>
    <w:rsid w:val="00EB78F3"/>
    <w:rsid w:val="00EB7C12"/>
    <w:rsid w:val="00EC0424"/>
    <w:rsid w:val="00EC0CE9"/>
    <w:rsid w:val="00EC5196"/>
    <w:rsid w:val="00ED1AB4"/>
    <w:rsid w:val="00ED24C6"/>
    <w:rsid w:val="00ED3654"/>
    <w:rsid w:val="00ED44AF"/>
    <w:rsid w:val="00ED60A8"/>
    <w:rsid w:val="00ED68E8"/>
    <w:rsid w:val="00ED710D"/>
    <w:rsid w:val="00EE141C"/>
    <w:rsid w:val="00EE35DD"/>
    <w:rsid w:val="00EE35E0"/>
    <w:rsid w:val="00EE51C1"/>
    <w:rsid w:val="00EE7283"/>
    <w:rsid w:val="00EF6393"/>
    <w:rsid w:val="00F01AFD"/>
    <w:rsid w:val="00F076F1"/>
    <w:rsid w:val="00F13B98"/>
    <w:rsid w:val="00F141FA"/>
    <w:rsid w:val="00F146F8"/>
    <w:rsid w:val="00F246EA"/>
    <w:rsid w:val="00F3367D"/>
    <w:rsid w:val="00F338AD"/>
    <w:rsid w:val="00F34A96"/>
    <w:rsid w:val="00F35EF8"/>
    <w:rsid w:val="00F4734A"/>
    <w:rsid w:val="00F51C69"/>
    <w:rsid w:val="00F51CE6"/>
    <w:rsid w:val="00F53231"/>
    <w:rsid w:val="00F53827"/>
    <w:rsid w:val="00F57961"/>
    <w:rsid w:val="00F60ADA"/>
    <w:rsid w:val="00F67CCB"/>
    <w:rsid w:val="00F734A2"/>
    <w:rsid w:val="00F75532"/>
    <w:rsid w:val="00F761DF"/>
    <w:rsid w:val="00F76FE0"/>
    <w:rsid w:val="00F7739E"/>
    <w:rsid w:val="00F77B12"/>
    <w:rsid w:val="00F8343A"/>
    <w:rsid w:val="00F84E93"/>
    <w:rsid w:val="00F87460"/>
    <w:rsid w:val="00F878A5"/>
    <w:rsid w:val="00F92A38"/>
    <w:rsid w:val="00FA4FAF"/>
    <w:rsid w:val="00FA5278"/>
    <w:rsid w:val="00FC0005"/>
    <w:rsid w:val="00FC6C4B"/>
    <w:rsid w:val="00FD023A"/>
    <w:rsid w:val="00FD4C0A"/>
    <w:rsid w:val="00FE24B7"/>
    <w:rsid w:val="00FE565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uiPriority w:val="34"/>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paragraph" w:customStyle="1" w:styleId="Default">
    <w:name w:val="Default"/>
    <w:rsid w:val="008C6059"/>
    <w:pPr>
      <w:autoSpaceDE w:val="0"/>
      <w:autoSpaceDN w:val="0"/>
      <w:adjustRightInd w:val="0"/>
      <w:spacing w:after="0" w:line="240" w:lineRule="auto"/>
    </w:pPr>
    <w:rPr>
      <w:rFonts w:ascii="Symbol" w:hAnsi="Symbol" w:cs="Symbol"/>
      <w:color w:val="000000"/>
      <w:sz w:val="24"/>
      <w:szCs w:val="24"/>
      <w:lang w:val="lt-LT"/>
    </w:rPr>
  </w:style>
  <w:style w:type="character" w:styleId="UnresolvedMention">
    <w:name w:val="Unresolved Mention"/>
    <w:basedOn w:val="DefaultParagraphFont"/>
    <w:uiPriority w:val="99"/>
    <w:semiHidden/>
    <w:unhideWhenUsed/>
    <w:rsid w:val="00775216"/>
    <w:rPr>
      <w:color w:val="605E5C"/>
      <w:shd w:val="clear" w:color="auto" w:fill="E1DFDD"/>
    </w:rPr>
  </w:style>
  <w:style w:type="paragraph" w:styleId="TOCHeading">
    <w:name w:val="TOC Heading"/>
    <w:basedOn w:val="Heading1"/>
    <w:next w:val="Normal"/>
    <w:uiPriority w:val="39"/>
    <w:unhideWhenUsed/>
    <w:qFormat/>
    <w:rsid w:val="00C92F72"/>
    <w:pPr>
      <w:spacing w:before="240" w:line="259" w:lineRule="auto"/>
      <w:ind w:left="0"/>
      <w:outlineLvl w:val="9"/>
    </w:pPr>
    <w:rPr>
      <w:rFonts w:asciiTheme="majorHAnsi" w:hAnsiTheme="majorHAnsi"/>
      <w:b w:val="0"/>
      <w:b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356703">
      <w:bodyDiv w:val="1"/>
      <w:marLeft w:val="0"/>
      <w:marRight w:val="0"/>
      <w:marTop w:val="0"/>
      <w:marBottom w:val="0"/>
      <w:divBdr>
        <w:top w:val="none" w:sz="0" w:space="0" w:color="auto"/>
        <w:left w:val="none" w:sz="0" w:space="0" w:color="auto"/>
        <w:bottom w:val="none" w:sz="0" w:space="0" w:color="auto"/>
        <w:right w:val="none" w:sz="0" w:space="0" w:color="auto"/>
      </w:divBdr>
    </w:div>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v.lt/wp-content/uploads/2021/11/Valdybos-savo-veiklos-vertinimo-gair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v.lt/wp-content/uploads/2021/11/Valdybos-savo-veiklos-vertinimo-gair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ernance.lt/wp-content/uploads/2020/05/KO_atrankos_vykdymo_gaire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E8FA6CF9E135734A89C5CE38E453779D" ma:contentTypeVersion="13" ma:contentTypeDescription="Kurkite naują dokumentą." ma:contentTypeScope="" ma:versionID="27a3a38567c67149ccef5a5ea14fecfd">
  <xsd:schema xmlns:xsd="http://www.w3.org/2001/XMLSchema" xmlns:xs="http://www.w3.org/2001/XMLSchema" xmlns:p="http://schemas.microsoft.com/office/2006/metadata/properties" xmlns:ns3="a2849afd-acba-4395-bf4b-1bbd7f297ff2" xmlns:ns4="c7890880-2961-4513-b5e5-716c4272ad7b" targetNamespace="http://schemas.microsoft.com/office/2006/metadata/properties" ma:root="true" ma:fieldsID="885ca4f2864e2b07d12a78c49e490c8e" ns3:_="" ns4:_="">
    <xsd:import namespace="a2849afd-acba-4395-bf4b-1bbd7f297ff2"/>
    <xsd:import namespace="c7890880-2961-4513-b5e5-716c4272ad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9afd-acba-4395-bf4b-1bbd7f29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90880-2961-4513-b5e5-716c4272ad7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9BC0D-247A-4459-B3A6-FBC1E45156CD}">
  <ds:schemaRefs>
    <ds:schemaRef ds:uri="http://schemas.openxmlformats.org/officeDocument/2006/bibliography"/>
  </ds:schemaRefs>
</ds:datastoreItem>
</file>

<file path=customXml/itemProps2.xml><?xml version="1.0" encoding="utf-8"?>
<ds:datastoreItem xmlns:ds="http://schemas.openxmlformats.org/officeDocument/2006/customXml" ds:itemID="{A2019677-6EC7-464F-A130-0CF3179A97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B11F8-E020-4F7B-A58D-DC2385A1C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49afd-acba-4395-bf4b-1bbd7f297ff2"/>
    <ds:schemaRef ds:uri="c7890880-2961-4513-b5e5-716c4272a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D3E7A-F85B-491D-AA7A-828672F5B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Pages>
  <Words>7278</Words>
  <Characters>4150</Characters>
  <Application>Microsoft Office Word</Application>
  <DocSecurity>0</DocSecurity>
  <Lines>34</Lines>
  <Paragraphs>22</Paragraphs>
  <ScaleCrop>false</ScaleCrop>
  <HeadingPairs>
    <vt:vector size="6" baseType="variant">
      <vt:variant>
        <vt:lpstr>Title</vt:lpstr>
      </vt:variant>
      <vt:variant>
        <vt:i4>1</vt:i4>
      </vt:variant>
      <vt:variant>
        <vt:lpstr>Headings</vt:lpstr>
      </vt:variant>
      <vt:variant>
        <vt:i4>2</vt:i4>
      </vt:variant>
      <vt:variant>
        <vt:lpstr>Pavadinimas</vt:lpstr>
      </vt:variant>
      <vt:variant>
        <vt:i4>1</vt:i4>
      </vt:variant>
    </vt:vector>
  </HeadingPairs>
  <TitlesOfParts>
    <vt:vector size="4" baseType="lpstr">
      <vt:lpstr/>
      <vt:lpstr/>
      <vt:lpstr>Turinys</vt: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Inga Žutautienė</cp:lastModifiedBy>
  <cp:revision>18</cp:revision>
  <cp:lastPrinted>2022-03-10T16:41:00Z</cp:lastPrinted>
  <dcterms:created xsi:type="dcterms:W3CDTF">2022-02-04T10:24:00Z</dcterms:created>
  <dcterms:modified xsi:type="dcterms:W3CDTF">2022-04-07T12:32:00Z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0x010100E8FA6CF9E135734A89C5CE38E453779D</vt:lpwstr>
  </property>
</Properties>
</file>