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95"/>
        <w:gridCol w:w="8185"/>
      </w:tblGrid>
      <w:tr w:rsidR="00AC58DB" w:rsidRPr="00B05B01" w14:paraId="48AC00E7" w14:textId="77777777" w:rsidTr="00591337">
        <w:trPr>
          <w:trHeight w:val="712"/>
        </w:trPr>
        <w:tc>
          <w:tcPr>
            <w:tcW w:w="9980" w:type="dxa"/>
            <w:gridSpan w:val="2"/>
            <w:shd w:val="clear" w:color="auto" w:fill="D9D9D9" w:themeFill="background1" w:themeFillShade="D9"/>
          </w:tcPr>
          <w:p w14:paraId="16021C6D" w14:textId="44F8C601" w:rsidR="00D03C31" w:rsidRPr="00B05B01" w:rsidRDefault="00D03C31" w:rsidP="00591337">
            <w:pPr>
              <w:tabs>
                <w:tab w:val="left" w:pos="190"/>
              </w:tabs>
              <w:suppressAutoHyphens/>
              <w:spacing w:after="0" w:line="240" w:lineRule="auto"/>
              <w:jc w:val="center"/>
              <w:rPr>
                <w:rFonts w:asciiTheme="majorHAnsi" w:hAnsiTheme="majorHAnsi" w:cstheme="majorHAnsi"/>
                <w:b/>
                <w:bCs/>
                <w:position w:val="-34"/>
                <w:lang w:val="lt-LT"/>
              </w:rPr>
            </w:pPr>
            <w:r w:rsidRPr="00B05B01">
              <w:rPr>
                <w:rFonts w:asciiTheme="majorHAnsi" w:hAnsiTheme="majorHAnsi" w:cstheme="majorHAnsi"/>
                <w:b/>
                <w:bCs/>
                <w:position w:val="-34"/>
                <w:lang w:val="lt-LT"/>
              </w:rPr>
              <w:t xml:space="preserve">UŽDAROSIOS AKCINĖS BENDROVĖS „VILNIAUS VANDENYS“ </w:t>
            </w:r>
          </w:p>
          <w:p w14:paraId="6A09418C" w14:textId="77777777" w:rsidR="00D03C31" w:rsidRPr="00B05B01" w:rsidRDefault="00D03C31" w:rsidP="00591337">
            <w:pPr>
              <w:tabs>
                <w:tab w:val="left" w:pos="190"/>
              </w:tabs>
              <w:suppressAutoHyphens/>
              <w:spacing w:after="0" w:line="240" w:lineRule="auto"/>
              <w:jc w:val="center"/>
              <w:rPr>
                <w:rFonts w:asciiTheme="majorHAnsi" w:hAnsiTheme="majorHAnsi" w:cstheme="majorHAnsi"/>
                <w:b/>
                <w:bCs/>
                <w:position w:val="-34"/>
                <w:lang w:val="lt-LT"/>
              </w:rPr>
            </w:pPr>
            <w:r w:rsidRPr="00B05B01">
              <w:rPr>
                <w:rFonts w:asciiTheme="majorHAnsi" w:hAnsiTheme="majorHAnsi" w:cstheme="majorHAnsi"/>
                <w:b/>
                <w:bCs/>
                <w:position w:val="-34"/>
                <w:lang w:val="lt-LT"/>
              </w:rPr>
              <w:t>KORUPCIJAI ATSPARIOS APLINKOS KŪRIMO POLITIKA</w:t>
            </w:r>
          </w:p>
          <w:p w14:paraId="27FA4EC1" w14:textId="0E6F3F9E" w:rsidR="00CE59BE" w:rsidRPr="00B05B01" w:rsidRDefault="00CE59BE" w:rsidP="00217A98">
            <w:pPr>
              <w:suppressAutoHyphens/>
              <w:spacing w:after="0" w:line="240" w:lineRule="auto"/>
              <w:ind w:left="-110"/>
              <w:jc w:val="center"/>
              <w:rPr>
                <w:rFonts w:asciiTheme="majorHAnsi" w:hAnsiTheme="majorHAnsi" w:cstheme="majorHAnsi"/>
                <w:color w:val="000000"/>
                <w:lang w:val="lt-LT"/>
              </w:rPr>
            </w:pPr>
          </w:p>
        </w:tc>
      </w:tr>
      <w:tr w:rsidR="00807C45" w:rsidRPr="00B05B01" w14:paraId="0ADF4E2C" w14:textId="77777777" w:rsidTr="00591337">
        <w:trPr>
          <w:trHeight w:val="310"/>
        </w:trPr>
        <w:tc>
          <w:tcPr>
            <w:tcW w:w="1795" w:type="dxa"/>
          </w:tcPr>
          <w:p w14:paraId="09AB8001" w14:textId="77777777" w:rsidR="00905004" w:rsidRPr="00B05B01" w:rsidRDefault="00905004" w:rsidP="009C6DD9">
            <w:pPr>
              <w:suppressAutoHyphens/>
              <w:spacing w:after="0"/>
              <w:rPr>
                <w:rFonts w:asciiTheme="majorHAnsi" w:hAnsiTheme="majorHAnsi" w:cstheme="majorHAnsi"/>
                <w:color w:val="000000"/>
                <w:lang w:val="lt-LT"/>
              </w:rPr>
            </w:pPr>
            <w:r w:rsidRPr="00B05B01">
              <w:rPr>
                <w:rFonts w:asciiTheme="majorHAnsi" w:hAnsiTheme="majorHAnsi" w:cstheme="majorHAnsi"/>
                <w:b/>
                <w:bCs/>
                <w:color w:val="000000"/>
                <w:lang w:val="lt-LT"/>
              </w:rPr>
              <w:t>Tikslas</w:t>
            </w:r>
          </w:p>
        </w:tc>
        <w:tc>
          <w:tcPr>
            <w:tcW w:w="8185" w:type="dxa"/>
          </w:tcPr>
          <w:p w14:paraId="135A50ED" w14:textId="3E4198ED" w:rsidR="00905004" w:rsidRPr="00B05B01" w:rsidRDefault="009A57AF" w:rsidP="009C6DD9">
            <w:pPr>
              <w:suppressAutoHyphens/>
              <w:spacing w:after="0"/>
              <w:jc w:val="both"/>
              <w:rPr>
                <w:rFonts w:asciiTheme="majorHAnsi" w:hAnsiTheme="majorHAnsi" w:cstheme="majorHAnsi"/>
                <w:color w:val="000000"/>
                <w:lang w:val="lt-LT"/>
              </w:rPr>
            </w:pPr>
            <w:r w:rsidRPr="00591337">
              <w:rPr>
                <w:rFonts w:asciiTheme="majorHAnsi" w:hAnsiTheme="majorHAnsi" w:cstheme="majorHAnsi"/>
                <w:lang w:val="lt-LT"/>
              </w:rPr>
              <w:t>U</w:t>
            </w:r>
            <w:r w:rsidR="000707C6" w:rsidRPr="00591337">
              <w:rPr>
                <w:rFonts w:asciiTheme="majorHAnsi" w:hAnsiTheme="majorHAnsi" w:cstheme="majorHAnsi"/>
                <w:lang w:val="lt-LT"/>
              </w:rPr>
              <w:t>žtikrinti skaidrią ir efektyvią Bendrovės veiklą, atitinkančią visuomenėje priimtinus aukščiausius patikimumo, sąžiningumo, skaidrumo ir verslo etikos standartus, nustatyti ir valdyti bei šalinti korupcijos rizikas bei sukurti veiksmingą korupcijai atsparios aplinkos kūrimo sistemą, nustatyti korupcijai atsparios aplinkos kūrimo principus ir įsipareigojimus, subjektus ir jų atsakomybes.</w:t>
            </w:r>
          </w:p>
        </w:tc>
      </w:tr>
      <w:tr w:rsidR="00807C45" w:rsidRPr="00B05B01" w14:paraId="00D90B52" w14:textId="77777777" w:rsidTr="00591337">
        <w:trPr>
          <w:trHeight w:val="321"/>
        </w:trPr>
        <w:tc>
          <w:tcPr>
            <w:tcW w:w="1795" w:type="dxa"/>
          </w:tcPr>
          <w:p w14:paraId="33C698B2" w14:textId="77777777" w:rsidR="00905004" w:rsidRPr="00B05B01" w:rsidRDefault="00905004" w:rsidP="009C6DD9">
            <w:pPr>
              <w:suppressAutoHyphens/>
              <w:spacing w:after="0"/>
              <w:rPr>
                <w:rFonts w:asciiTheme="majorHAnsi" w:hAnsiTheme="majorHAnsi" w:cstheme="majorHAnsi"/>
                <w:b/>
                <w:bCs/>
                <w:color w:val="000000"/>
                <w:lang w:val="lt-LT"/>
              </w:rPr>
            </w:pPr>
            <w:r w:rsidRPr="00B05B01">
              <w:rPr>
                <w:rFonts w:asciiTheme="majorHAnsi" w:hAnsiTheme="majorHAnsi" w:cstheme="majorHAnsi"/>
                <w:b/>
                <w:bCs/>
                <w:color w:val="000000"/>
                <w:lang w:val="lt-LT"/>
              </w:rPr>
              <w:t>Taikymo sritis</w:t>
            </w:r>
          </w:p>
        </w:tc>
        <w:tc>
          <w:tcPr>
            <w:tcW w:w="8185" w:type="dxa"/>
          </w:tcPr>
          <w:p w14:paraId="64DCACAB" w14:textId="7594A033" w:rsidR="00905004" w:rsidRPr="00B05B01" w:rsidRDefault="00EE35AC" w:rsidP="009C6DD9">
            <w:pPr>
              <w:suppressAutoHyphens/>
              <w:spacing w:after="0"/>
              <w:jc w:val="both"/>
              <w:rPr>
                <w:rFonts w:asciiTheme="majorHAnsi" w:hAnsiTheme="majorHAnsi" w:cstheme="majorHAnsi"/>
                <w:color w:val="000000"/>
                <w:lang w:val="lt-LT"/>
              </w:rPr>
            </w:pPr>
            <w:r w:rsidRPr="00591337">
              <w:rPr>
                <w:rFonts w:asciiTheme="majorHAnsi" w:hAnsiTheme="majorHAnsi" w:cstheme="majorHAnsi"/>
                <w:lang w:val="lt-LT"/>
              </w:rPr>
              <w:t>Taikoma valdybos nariams, visiems uždarosios akcinės bendrovės „Vilniaus vandenys“ darbuotojams, nepriklausomai nuo užimamų pareigų, praktiką atliekantiems asmenims ir asmenims, atstovaujantiems Bendrovės interesams ar veikiantiems jos vardu, taip pat kontrahentams, įskaitant pasitelktus konsultantus, tarpininkus ir kitus asmenis, veikiančius Bendrovės vardu, nepriklausomai nuo jų santykio su Bendrove formos bei atlygintinumo.</w:t>
            </w:r>
          </w:p>
        </w:tc>
      </w:tr>
      <w:tr w:rsidR="00B23B7E" w:rsidRPr="00B05B01" w14:paraId="1C5E147C" w14:textId="77777777" w:rsidTr="00591337">
        <w:trPr>
          <w:trHeight w:val="114"/>
        </w:trPr>
        <w:tc>
          <w:tcPr>
            <w:tcW w:w="1795" w:type="dxa"/>
          </w:tcPr>
          <w:p w14:paraId="4EDCBFAC" w14:textId="6378BA4A" w:rsidR="00B23B7E" w:rsidRPr="00B05B01" w:rsidRDefault="0026403C" w:rsidP="009C6DD9">
            <w:pPr>
              <w:suppressAutoHyphens/>
              <w:spacing w:after="0"/>
              <w:rPr>
                <w:rFonts w:asciiTheme="majorHAnsi" w:hAnsiTheme="majorHAnsi" w:cstheme="majorHAnsi"/>
                <w:b/>
                <w:bCs/>
                <w:color w:val="000000"/>
                <w:lang w:val="lt-LT"/>
              </w:rPr>
            </w:pPr>
            <w:bookmarkStart w:id="0" w:name="_Toc110837142"/>
            <w:bookmarkStart w:id="1" w:name="_Toc81223234"/>
            <w:r w:rsidRPr="00B05B01">
              <w:rPr>
                <w:rFonts w:asciiTheme="majorHAnsi" w:hAnsiTheme="majorHAnsi" w:cstheme="majorHAnsi"/>
                <w:b/>
                <w:bCs/>
                <w:color w:val="000000"/>
                <w:lang w:val="lt-LT"/>
              </w:rPr>
              <w:t>Susiję teisės aktai</w:t>
            </w:r>
            <w:r w:rsidR="00B23B7E" w:rsidRPr="00B05B01">
              <w:rPr>
                <w:rFonts w:asciiTheme="majorHAnsi" w:hAnsiTheme="majorHAnsi" w:cstheme="majorHAnsi"/>
                <w:b/>
                <w:bCs/>
                <w:color w:val="000000"/>
                <w:lang w:val="lt-LT"/>
              </w:rPr>
              <w:t xml:space="preserve"> </w:t>
            </w:r>
          </w:p>
        </w:tc>
        <w:tc>
          <w:tcPr>
            <w:tcW w:w="8185" w:type="dxa"/>
          </w:tcPr>
          <w:p w14:paraId="2637F340"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8" w:history="1">
              <w:r w:rsidRPr="00B05B01">
                <w:rPr>
                  <w:rStyle w:val="Hyperlink"/>
                  <w:rFonts w:asciiTheme="majorHAnsi" w:hAnsiTheme="majorHAnsi" w:cstheme="majorHAnsi"/>
                  <w:lang w:val="lt-LT"/>
                </w:rPr>
                <w:t>Lietuvos Respublikos darbo kodeksas</w:t>
              </w:r>
            </w:hyperlink>
            <w:r w:rsidRPr="00B05B01">
              <w:rPr>
                <w:rFonts w:asciiTheme="majorHAnsi" w:hAnsiTheme="majorHAnsi" w:cstheme="majorHAnsi"/>
                <w:lang w:val="lt-LT"/>
              </w:rPr>
              <w:t>;</w:t>
            </w:r>
          </w:p>
          <w:p w14:paraId="4B7BB325"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9" w:history="1">
              <w:r w:rsidRPr="00B05B01">
                <w:rPr>
                  <w:rStyle w:val="Hyperlink"/>
                  <w:rFonts w:asciiTheme="majorHAnsi" w:hAnsiTheme="majorHAnsi" w:cstheme="majorHAnsi"/>
                  <w:lang w:val="lt-LT"/>
                </w:rPr>
                <w:t>Lietuvos Respublikos korupcijos prevencijos įstatymas</w:t>
              </w:r>
            </w:hyperlink>
            <w:r w:rsidRPr="00B05B01">
              <w:rPr>
                <w:rFonts w:asciiTheme="majorHAnsi" w:hAnsiTheme="majorHAnsi" w:cstheme="majorHAnsi"/>
                <w:lang w:val="lt-LT"/>
              </w:rPr>
              <w:t>;</w:t>
            </w:r>
          </w:p>
          <w:p w14:paraId="63946490"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10" w:history="1">
              <w:r w:rsidRPr="00B05B01">
                <w:rPr>
                  <w:rStyle w:val="Hyperlink"/>
                  <w:rFonts w:asciiTheme="majorHAnsi" w:hAnsiTheme="majorHAnsi" w:cstheme="majorHAnsi"/>
                  <w:lang w:val="lt-LT"/>
                </w:rPr>
                <w:t>Lietuvos Respublikos viešųjų ir privačių interesų derinimo įstatymas</w:t>
              </w:r>
            </w:hyperlink>
            <w:r w:rsidRPr="00B05B01">
              <w:rPr>
                <w:rFonts w:asciiTheme="majorHAnsi" w:hAnsiTheme="majorHAnsi" w:cstheme="majorHAnsi"/>
                <w:lang w:val="lt-LT"/>
              </w:rPr>
              <w:t>;</w:t>
            </w:r>
          </w:p>
          <w:p w14:paraId="4EE2C526"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11" w:history="1">
              <w:r w:rsidRPr="00B05B01">
                <w:rPr>
                  <w:rStyle w:val="Hyperlink"/>
                  <w:rFonts w:asciiTheme="majorHAnsi" w:hAnsiTheme="majorHAnsi" w:cstheme="majorHAnsi"/>
                  <w:lang w:val="lt-LT"/>
                </w:rPr>
                <w:t>Rekomendacinės gairės dėl dovanų ir paslaugų priėmimo apribojimų, patvirtintos Vyriausiosios tarnybinės etikos komisijos 2020 m. kovo 12 d. sprendimu Nr. KS-40 patvirtintos rekomendacinės gairės dėl dovanų ir paslaugų priėmimo apribojimų</w:t>
              </w:r>
            </w:hyperlink>
            <w:r w:rsidRPr="00B05B01">
              <w:rPr>
                <w:rFonts w:asciiTheme="majorHAnsi" w:hAnsiTheme="majorHAnsi" w:cstheme="majorHAnsi"/>
                <w:lang w:val="lt-LT"/>
              </w:rPr>
              <w:t xml:space="preserve">; </w:t>
            </w:r>
          </w:p>
          <w:p w14:paraId="6CB21EAA"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12" w:history="1">
              <w:r w:rsidRPr="00B05B01">
                <w:rPr>
                  <w:rStyle w:val="Hyperlink"/>
                  <w:rFonts w:asciiTheme="majorHAnsi" w:hAnsiTheme="majorHAnsi" w:cstheme="majorHAnsi"/>
                  <w:lang w:val="lt-LT"/>
                </w:rPr>
                <w:t>Vyriausiosios tarnybinės etikos komisijos patvirtintas 2025 m. birželio 18 d. sprendimas dėl dovanų, gautų pagal Lietuvos Respublikos viešųjų ir privačių interesų derinimo įstatymo 13 straipsnio 2 dalį, registravimo privačių interesų registre</w:t>
              </w:r>
            </w:hyperlink>
            <w:r w:rsidRPr="00B05B01">
              <w:rPr>
                <w:rFonts w:asciiTheme="majorHAnsi" w:hAnsiTheme="majorHAnsi" w:cstheme="majorHAnsi"/>
                <w:lang w:val="lt-LT"/>
              </w:rPr>
              <w:t>;</w:t>
            </w:r>
          </w:p>
          <w:p w14:paraId="084F5420"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13" w:history="1">
              <w:r w:rsidRPr="00B05B01">
                <w:rPr>
                  <w:rStyle w:val="Hyperlink"/>
                  <w:rFonts w:asciiTheme="majorHAnsi" w:hAnsiTheme="majorHAnsi" w:cstheme="majorHAnsi"/>
                  <w:lang w:val="lt-LT"/>
                </w:rPr>
                <w:t>Rekomendacija dėl Lietuvos Respublikos viešųjų ir privačių interesų derinimo įstatymo laikymosi kontrolės ir priežiūros, patvirtinta Vyriausiosios tarnybinės etikos komisijos</w:t>
              </w:r>
            </w:hyperlink>
            <w:r w:rsidRPr="00B05B01">
              <w:rPr>
                <w:rFonts w:asciiTheme="majorHAnsi" w:hAnsiTheme="majorHAnsi" w:cstheme="majorHAnsi"/>
                <w:lang w:val="lt-LT"/>
              </w:rPr>
              <w:t>;</w:t>
            </w:r>
          </w:p>
          <w:p w14:paraId="665B068C" w14:textId="77777777" w:rsidR="00535F69" w:rsidRPr="00B05B01" w:rsidRDefault="00535F69" w:rsidP="00535F69">
            <w:pPr>
              <w:suppressAutoHyphens/>
              <w:spacing w:after="0" w:line="240" w:lineRule="auto"/>
              <w:jc w:val="both"/>
              <w:rPr>
                <w:rFonts w:asciiTheme="majorHAnsi" w:hAnsiTheme="majorHAnsi" w:cstheme="majorHAnsi"/>
                <w:lang w:val="lt-LT"/>
              </w:rPr>
            </w:pPr>
            <w:hyperlink r:id="rId14" w:history="1">
              <w:r w:rsidRPr="00B05B01">
                <w:rPr>
                  <w:rStyle w:val="Hyperlink"/>
                  <w:rFonts w:asciiTheme="majorHAnsi" w:hAnsiTheme="majorHAnsi" w:cstheme="majorHAnsi"/>
                  <w:lang w:val="lt-LT"/>
                </w:rPr>
                <w:t>Lietuvos Respublikos pranešėjų apsaugos įstatymas</w:t>
              </w:r>
            </w:hyperlink>
            <w:r w:rsidRPr="00B05B01">
              <w:rPr>
                <w:rFonts w:asciiTheme="majorHAnsi" w:hAnsiTheme="majorHAnsi" w:cstheme="majorHAnsi"/>
                <w:lang w:val="lt-LT"/>
              </w:rPr>
              <w:t>;</w:t>
            </w:r>
          </w:p>
          <w:p w14:paraId="4D17082B" w14:textId="77777777" w:rsidR="00535F69" w:rsidRPr="00B05B01" w:rsidRDefault="00535F69" w:rsidP="00535F69">
            <w:pPr>
              <w:spacing w:after="0" w:line="240" w:lineRule="auto"/>
              <w:jc w:val="both"/>
              <w:rPr>
                <w:rFonts w:asciiTheme="majorHAnsi" w:hAnsiTheme="majorHAnsi" w:cstheme="majorHAnsi"/>
                <w:lang w:val="lt-LT"/>
              </w:rPr>
            </w:pPr>
            <w:hyperlink r:id="rId15" w:history="1">
              <w:r w:rsidRPr="00B05B01">
                <w:rPr>
                  <w:rStyle w:val="Hyperlink"/>
                  <w:rFonts w:asciiTheme="majorHAnsi" w:hAnsiTheme="majorHAnsi" w:cstheme="majorHAnsi"/>
                  <w:lang w:val="lt-LT"/>
                </w:rPr>
                <w:t>Vidinių informacijos apie pažeidimus teikimo kanalų įdiegimo ir jų funkcionavimo užtikrinimo tvarkos aprašas, patvirtintas Lietuvos Respublikos Vyriausybės 2018 m. lapkričio 14 d. nutarimu Nr. 1133 „Dėl Lietuvos Respublikos pranešėjų apsaugos įstatymo įgyvendinimo“</w:t>
              </w:r>
            </w:hyperlink>
            <w:r w:rsidRPr="00B05B01">
              <w:rPr>
                <w:rFonts w:asciiTheme="majorHAnsi" w:hAnsiTheme="majorHAnsi" w:cstheme="majorHAnsi"/>
                <w:lang w:val="lt-LT"/>
              </w:rPr>
              <w:t>;</w:t>
            </w:r>
          </w:p>
          <w:p w14:paraId="07A13543" w14:textId="77777777" w:rsidR="00535F69" w:rsidRPr="00B05B01" w:rsidRDefault="00535F69" w:rsidP="00535F69">
            <w:pPr>
              <w:spacing w:after="0" w:line="240" w:lineRule="auto"/>
              <w:jc w:val="both"/>
              <w:rPr>
                <w:rFonts w:asciiTheme="majorHAnsi" w:hAnsiTheme="majorHAnsi" w:cstheme="majorHAnsi"/>
                <w:lang w:val="lt-LT"/>
              </w:rPr>
            </w:pPr>
            <w:hyperlink r:id="rId16" w:history="1">
              <w:r w:rsidRPr="00B05B01">
                <w:rPr>
                  <w:rStyle w:val="Hyperlink"/>
                  <w:rFonts w:asciiTheme="majorHAnsi" w:hAnsiTheme="majorHAnsi" w:cstheme="majorHAnsi"/>
                  <w:lang w:val="lt-LT"/>
                </w:rPr>
                <w:t>Lietuvos Respublikos lobistinės veiklos įstatymas</w:t>
              </w:r>
            </w:hyperlink>
            <w:r w:rsidRPr="00B05B01">
              <w:rPr>
                <w:rFonts w:asciiTheme="majorHAnsi" w:hAnsiTheme="majorHAnsi" w:cstheme="majorHAnsi"/>
                <w:lang w:val="lt-LT"/>
              </w:rPr>
              <w:t>;</w:t>
            </w:r>
          </w:p>
          <w:p w14:paraId="05B21862" w14:textId="11478FC8" w:rsidR="00B23B7E" w:rsidRPr="00B05B01" w:rsidRDefault="00535F69" w:rsidP="00F85DD0">
            <w:pPr>
              <w:suppressAutoHyphens/>
              <w:spacing w:after="0" w:line="240" w:lineRule="auto"/>
              <w:jc w:val="both"/>
              <w:rPr>
                <w:rFonts w:asciiTheme="majorHAnsi" w:hAnsiTheme="majorHAnsi" w:cstheme="majorHAnsi"/>
                <w:color w:val="000000"/>
                <w:lang w:val="lt-LT"/>
              </w:rPr>
            </w:pPr>
            <w:hyperlink r:id="rId17" w:history="1">
              <w:r w:rsidRPr="00B05B01">
                <w:rPr>
                  <w:rStyle w:val="Hyperlink"/>
                  <w:rFonts w:asciiTheme="majorHAnsi" w:hAnsiTheme="majorHAnsi" w:cstheme="majorHAnsi"/>
                  <w:lang w:val="lt-LT"/>
                </w:rPr>
                <w:t>Uždarosios akcinės bendrovės „Vilniaus vandenys“ etikos kodeksas</w:t>
              </w:r>
            </w:hyperlink>
            <w:r w:rsidRPr="00B05B01">
              <w:rPr>
                <w:rFonts w:asciiTheme="majorHAnsi" w:hAnsiTheme="majorHAnsi" w:cstheme="majorHAnsi"/>
                <w:lang w:val="lt-LT"/>
              </w:rPr>
              <w:t>.</w:t>
            </w:r>
          </w:p>
        </w:tc>
      </w:tr>
    </w:tbl>
    <w:bookmarkEnd w:id="1" w:displacedByCustomXml="next"/>
    <w:bookmarkEnd w:id="0" w:displacedByCustomXml="next"/>
    <w:sdt>
      <w:sdtPr>
        <w:rPr>
          <w:rFonts w:asciiTheme="minorHAnsi" w:eastAsiaTheme="minorHAnsi" w:hAnsiTheme="minorHAnsi" w:cstheme="majorHAnsi"/>
          <w:color w:val="auto"/>
          <w:sz w:val="22"/>
          <w:szCs w:val="22"/>
        </w:rPr>
        <w:id w:val="1476252160"/>
        <w:docPartObj>
          <w:docPartGallery w:val="Table of Contents"/>
          <w:docPartUnique/>
        </w:docPartObj>
      </w:sdtPr>
      <w:sdtEndPr>
        <w:rPr>
          <w:b/>
          <w:bCs/>
          <w:noProof/>
        </w:rPr>
      </w:sdtEndPr>
      <w:sdtContent>
        <w:p w14:paraId="6EFA2EC1" w14:textId="183977FC" w:rsidR="00AD40A2" w:rsidRPr="00591337" w:rsidRDefault="000B2352">
          <w:pPr>
            <w:pStyle w:val="TOCHeading"/>
            <w:rPr>
              <w:rFonts w:cstheme="majorHAnsi"/>
              <w:b/>
              <w:bCs/>
              <w:color w:val="auto"/>
              <w:sz w:val="22"/>
              <w:szCs w:val="22"/>
              <w:lang w:val="lt-LT"/>
            </w:rPr>
          </w:pPr>
          <w:r w:rsidRPr="00B05B01">
            <w:rPr>
              <w:rFonts w:cstheme="majorHAnsi"/>
              <w:b/>
              <w:bCs/>
              <w:color w:val="auto"/>
              <w:sz w:val="22"/>
              <w:szCs w:val="22"/>
              <w:lang w:val="lt-LT"/>
            </w:rPr>
            <w:t>Turinys</w:t>
          </w:r>
          <w:r w:rsidR="00800609" w:rsidRPr="00B05B01">
            <w:rPr>
              <w:rFonts w:cstheme="majorHAnsi"/>
              <w:b/>
              <w:bCs/>
              <w:color w:val="auto"/>
              <w:sz w:val="22"/>
              <w:szCs w:val="22"/>
              <w:lang w:val="lt-LT"/>
            </w:rPr>
            <w:t xml:space="preserve">  </w:t>
          </w:r>
        </w:p>
        <w:p w14:paraId="2DAB5FFD" w14:textId="2A8E79F6" w:rsidR="00AD40A2" w:rsidRPr="00B05B01" w:rsidRDefault="00AD40A2" w:rsidP="000B2352">
          <w:pPr>
            <w:pStyle w:val="TOC1"/>
            <w:rPr>
              <w:rFonts w:asciiTheme="majorHAnsi" w:eastAsiaTheme="minorEastAsia" w:hAnsiTheme="majorHAnsi" w:cstheme="majorHAnsi"/>
              <w:b w:val="0"/>
              <w:noProof/>
              <w:sz w:val="22"/>
              <w:szCs w:val="22"/>
              <w:lang w:val="lt-LT" w:eastAsia="lt-LT"/>
            </w:rPr>
          </w:pPr>
          <w:r w:rsidRPr="00B05B01">
            <w:rPr>
              <w:rFonts w:asciiTheme="majorHAnsi" w:hAnsiTheme="majorHAnsi" w:cstheme="majorHAnsi"/>
              <w:sz w:val="22"/>
              <w:szCs w:val="22"/>
            </w:rPr>
            <w:fldChar w:fldCharType="begin"/>
          </w:r>
          <w:r w:rsidRPr="00B05B01">
            <w:rPr>
              <w:rFonts w:asciiTheme="majorHAnsi" w:hAnsiTheme="majorHAnsi" w:cstheme="majorHAnsi"/>
              <w:sz w:val="22"/>
              <w:szCs w:val="22"/>
            </w:rPr>
            <w:instrText xml:space="preserve"> TOC \o "1-3" \h \z \u </w:instrText>
          </w:r>
          <w:r w:rsidRPr="00B05B01">
            <w:rPr>
              <w:rFonts w:asciiTheme="majorHAnsi" w:hAnsiTheme="majorHAnsi" w:cstheme="majorHAnsi"/>
              <w:sz w:val="22"/>
              <w:szCs w:val="22"/>
            </w:rPr>
            <w:fldChar w:fldCharType="separate"/>
          </w:r>
        </w:p>
        <w:p w14:paraId="711F85B0" w14:textId="67A4D76D" w:rsidR="00034AF0" w:rsidRPr="00B05B01" w:rsidRDefault="00034AF0" w:rsidP="00034AF0">
          <w:pPr>
            <w:pStyle w:val="TOC2"/>
            <w:tabs>
              <w:tab w:val="left" w:pos="660"/>
              <w:tab w:val="right" w:leader="dot" w:pos="11046"/>
            </w:tabs>
            <w:spacing w:line="240" w:lineRule="auto"/>
            <w:jc w:val="both"/>
            <w:rPr>
              <w:rFonts w:asciiTheme="majorHAnsi" w:hAnsiTheme="majorHAnsi" w:cstheme="majorHAnsi"/>
              <w:noProof/>
            </w:rPr>
          </w:pPr>
          <w:hyperlink w:anchor="_Toc58403966" w:history="1">
            <w:r w:rsidRPr="00B05B01">
              <w:rPr>
                <w:rStyle w:val="Hyperlink"/>
                <w:rFonts w:asciiTheme="majorHAnsi" w:hAnsiTheme="majorHAnsi" w:cstheme="majorHAnsi"/>
                <w:noProof/>
              </w:rPr>
              <w:t>1. SPECIALIOSIOS SĄVOKOS IR SUTRUMPINIMAI</w:t>
            </w:r>
            <w:r w:rsidRPr="00B05B01">
              <w:rPr>
                <w:rFonts w:asciiTheme="majorHAnsi" w:hAnsiTheme="majorHAnsi" w:cstheme="majorHAnsi"/>
                <w:noProof/>
                <w:webHidden/>
              </w:rPr>
              <w:tab/>
            </w:r>
            <w:r w:rsidR="00A82203">
              <w:rPr>
                <w:rFonts w:asciiTheme="majorHAnsi" w:hAnsiTheme="majorHAnsi" w:cstheme="majorHAnsi"/>
                <w:noProof/>
                <w:webHidden/>
              </w:rPr>
              <w:t>2</w:t>
            </w:r>
          </w:hyperlink>
        </w:p>
        <w:p w14:paraId="61589364" w14:textId="357C4146" w:rsidR="00034AF0" w:rsidRPr="00B05B01" w:rsidRDefault="00034AF0" w:rsidP="00034AF0">
          <w:pPr>
            <w:pStyle w:val="TOC2"/>
            <w:tabs>
              <w:tab w:val="right" w:leader="dot" w:pos="11046"/>
            </w:tabs>
            <w:spacing w:line="240" w:lineRule="auto"/>
            <w:jc w:val="both"/>
            <w:rPr>
              <w:rFonts w:asciiTheme="majorHAnsi" w:hAnsiTheme="majorHAnsi" w:cstheme="majorHAnsi"/>
              <w:noProof/>
            </w:rPr>
          </w:pPr>
          <w:hyperlink w:anchor="_Toc58403967" w:history="1">
            <w:r w:rsidRPr="00B05B01">
              <w:rPr>
                <w:rStyle w:val="Hyperlink"/>
                <w:rFonts w:asciiTheme="majorHAnsi" w:hAnsiTheme="majorHAnsi" w:cstheme="majorHAnsi"/>
                <w:noProof/>
                <w:lang w:val="lt-LT"/>
              </w:rPr>
              <w:t>2. BENDROSIOS NUOSTATOS</w:t>
            </w:r>
            <w:r w:rsidRPr="00B05B01">
              <w:rPr>
                <w:rFonts w:asciiTheme="majorHAnsi" w:hAnsiTheme="majorHAnsi" w:cstheme="majorHAnsi"/>
                <w:noProof/>
                <w:webHidden/>
              </w:rPr>
              <w:tab/>
            </w:r>
          </w:hyperlink>
          <w:r w:rsidR="00A82203">
            <w:rPr>
              <w:rFonts w:asciiTheme="majorHAnsi" w:hAnsiTheme="majorHAnsi" w:cstheme="majorHAnsi"/>
            </w:rPr>
            <w:t>4</w:t>
          </w:r>
        </w:p>
        <w:p w14:paraId="1E1B573F" w14:textId="61CBAE5A" w:rsidR="00034AF0" w:rsidRPr="00B05B01" w:rsidRDefault="00034AF0" w:rsidP="00034AF0">
          <w:pPr>
            <w:pStyle w:val="TOC2"/>
            <w:tabs>
              <w:tab w:val="right" w:leader="dot" w:pos="11046"/>
            </w:tabs>
            <w:spacing w:line="240" w:lineRule="auto"/>
            <w:jc w:val="both"/>
            <w:rPr>
              <w:rFonts w:asciiTheme="majorHAnsi" w:hAnsiTheme="majorHAnsi" w:cstheme="majorHAnsi"/>
              <w:noProof/>
            </w:rPr>
          </w:pPr>
          <w:hyperlink w:anchor="_Toc58403968" w:history="1">
            <w:r w:rsidRPr="00B05B01">
              <w:rPr>
                <w:rStyle w:val="Hyperlink"/>
                <w:rFonts w:asciiTheme="majorHAnsi" w:hAnsiTheme="majorHAnsi" w:cstheme="majorHAnsi"/>
                <w:noProof/>
              </w:rPr>
              <w:t xml:space="preserve">3. </w:t>
            </w:r>
            <w:r w:rsidRPr="00B05B01">
              <w:rPr>
                <w:rFonts w:asciiTheme="majorHAnsi" w:hAnsiTheme="majorHAnsi" w:cstheme="majorHAnsi"/>
              </w:rPr>
              <w:t xml:space="preserve">KORUPCIJAI ATSPARIOS APLINKOS KŪRIMO </w:t>
            </w:r>
            <w:r w:rsidRPr="00B05B01">
              <w:rPr>
                <w:rStyle w:val="Hyperlink"/>
                <w:rFonts w:asciiTheme="majorHAnsi" w:hAnsiTheme="majorHAnsi" w:cstheme="majorHAnsi"/>
                <w:noProof/>
              </w:rPr>
              <w:t>PRINCIPAI</w:t>
            </w:r>
            <w:r w:rsidRPr="00B05B01">
              <w:rPr>
                <w:rFonts w:asciiTheme="majorHAnsi" w:hAnsiTheme="majorHAnsi" w:cstheme="majorHAnsi"/>
                <w:noProof/>
                <w:webHidden/>
              </w:rPr>
              <w:tab/>
            </w:r>
            <w:r w:rsidR="00115663">
              <w:rPr>
                <w:rFonts w:asciiTheme="majorHAnsi" w:hAnsiTheme="majorHAnsi" w:cstheme="majorHAnsi"/>
                <w:noProof/>
                <w:webHidden/>
              </w:rPr>
              <w:t>4</w:t>
            </w:r>
          </w:hyperlink>
        </w:p>
        <w:p w14:paraId="19EEBF4A" w14:textId="6425B783" w:rsidR="00034AF0" w:rsidRPr="00B05B01" w:rsidRDefault="00034AF0" w:rsidP="00034AF0">
          <w:pPr>
            <w:pStyle w:val="TOC2"/>
            <w:tabs>
              <w:tab w:val="right" w:leader="dot" w:pos="11046"/>
            </w:tabs>
            <w:spacing w:line="240" w:lineRule="auto"/>
            <w:jc w:val="both"/>
            <w:rPr>
              <w:rFonts w:asciiTheme="majorHAnsi" w:hAnsiTheme="majorHAnsi" w:cstheme="majorHAnsi"/>
              <w:noProof/>
            </w:rPr>
          </w:pPr>
          <w:hyperlink w:anchor="_Toc58403970" w:history="1">
            <w:r w:rsidRPr="00B05B01">
              <w:rPr>
                <w:rStyle w:val="Hyperlink"/>
                <w:rFonts w:asciiTheme="majorHAnsi" w:hAnsiTheme="majorHAnsi" w:cstheme="majorHAnsi"/>
                <w:noProof/>
              </w:rPr>
              <w:t>4. ĮSIPAREIGOJIMAI KURIANT KORUPCIJAI ATSPARIĄ APLINKĄ</w:t>
            </w:r>
            <w:r w:rsidRPr="00B05B01">
              <w:rPr>
                <w:rFonts w:asciiTheme="majorHAnsi" w:hAnsiTheme="majorHAnsi" w:cstheme="majorHAnsi"/>
                <w:noProof/>
                <w:webHidden/>
              </w:rPr>
              <w:tab/>
            </w:r>
          </w:hyperlink>
          <w:r w:rsidR="00F9296C">
            <w:rPr>
              <w:rFonts w:asciiTheme="majorHAnsi" w:hAnsiTheme="majorHAnsi" w:cstheme="majorHAnsi"/>
            </w:rPr>
            <w:t>5</w:t>
          </w:r>
        </w:p>
        <w:p w14:paraId="772D4495" w14:textId="727E39C7" w:rsidR="00034AF0" w:rsidRPr="00B05B01" w:rsidRDefault="00034AF0" w:rsidP="00034AF0">
          <w:pPr>
            <w:pStyle w:val="TOC2"/>
            <w:tabs>
              <w:tab w:val="right" w:leader="dot" w:pos="11046"/>
            </w:tabs>
            <w:spacing w:line="240" w:lineRule="auto"/>
            <w:jc w:val="both"/>
            <w:rPr>
              <w:rFonts w:asciiTheme="majorHAnsi" w:hAnsiTheme="majorHAnsi" w:cstheme="majorHAnsi"/>
              <w:noProof/>
            </w:rPr>
          </w:pPr>
          <w:hyperlink w:anchor="_Toc58403972" w:history="1">
            <w:r w:rsidRPr="00B05B01">
              <w:rPr>
                <w:rStyle w:val="Hyperlink"/>
                <w:rFonts w:asciiTheme="majorHAnsi" w:hAnsiTheme="majorHAnsi" w:cstheme="majorHAnsi"/>
                <w:noProof/>
              </w:rPr>
              <w:t>5. ATSAKOMYBĖ</w:t>
            </w:r>
            <w:r w:rsidRPr="00B05B01">
              <w:rPr>
                <w:rFonts w:asciiTheme="majorHAnsi" w:hAnsiTheme="majorHAnsi" w:cstheme="majorHAnsi"/>
                <w:noProof/>
                <w:webHidden/>
              </w:rPr>
              <w:tab/>
            </w:r>
          </w:hyperlink>
          <w:r w:rsidR="006561EA">
            <w:rPr>
              <w:rFonts w:asciiTheme="majorHAnsi" w:hAnsiTheme="majorHAnsi" w:cstheme="majorHAnsi"/>
            </w:rPr>
            <w:t>7</w:t>
          </w:r>
        </w:p>
        <w:p w14:paraId="1EAD0C01" w14:textId="4F8639C0" w:rsidR="00034AF0" w:rsidRPr="00B05B01" w:rsidRDefault="00034AF0" w:rsidP="00034AF0">
          <w:pPr>
            <w:pStyle w:val="TOC2"/>
            <w:tabs>
              <w:tab w:val="right" w:leader="dot" w:pos="11046"/>
            </w:tabs>
            <w:spacing w:line="240" w:lineRule="auto"/>
            <w:jc w:val="both"/>
            <w:rPr>
              <w:rFonts w:asciiTheme="majorHAnsi" w:hAnsiTheme="majorHAnsi" w:cstheme="majorHAnsi"/>
              <w:noProof/>
            </w:rPr>
          </w:pPr>
          <w:hyperlink w:anchor="_Toc58403973" w:history="1">
            <w:r w:rsidRPr="00B05B01">
              <w:rPr>
                <w:rStyle w:val="Hyperlink"/>
                <w:rFonts w:asciiTheme="majorHAnsi" w:hAnsiTheme="majorHAnsi" w:cstheme="majorHAnsi"/>
                <w:noProof/>
              </w:rPr>
              <w:t>6. BAIGIAMOSIOS NUOSTATOS</w:t>
            </w:r>
            <w:r w:rsidRPr="00B05B01">
              <w:rPr>
                <w:rFonts w:asciiTheme="majorHAnsi" w:hAnsiTheme="majorHAnsi" w:cstheme="majorHAnsi"/>
                <w:noProof/>
                <w:webHidden/>
              </w:rPr>
              <w:tab/>
            </w:r>
          </w:hyperlink>
          <w:r w:rsidR="006561EA">
            <w:rPr>
              <w:rFonts w:asciiTheme="majorHAnsi" w:hAnsiTheme="majorHAnsi" w:cstheme="majorHAnsi"/>
            </w:rPr>
            <w:t>8</w:t>
          </w:r>
        </w:p>
        <w:p w14:paraId="2D56CCEC" w14:textId="78407E65" w:rsidR="00AD40A2" w:rsidRPr="00B05B01" w:rsidRDefault="00AD40A2" w:rsidP="000B2352">
          <w:pPr>
            <w:rPr>
              <w:rFonts w:asciiTheme="majorHAnsi" w:hAnsiTheme="majorHAnsi" w:cstheme="majorHAnsi"/>
            </w:rPr>
          </w:pPr>
          <w:r w:rsidRPr="00B05B01">
            <w:rPr>
              <w:rFonts w:asciiTheme="majorHAnsi" w:hAnsiTheme="majorHAnsi" w:cstheme="majorHAnsi"/>
              <w:b/>
              <w:bCs/>
              <w:noProof/>
            </w:rPr>
            <w:fldChar w:fldCharType="end"/>
          </w:r>
        </w:p>
      </w:sdtContent>
    </w:sdt>
    <w:tbl>
      <w:tblPr>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268"/>
        <w:gridCol w:w="7655"/>
      </w:tblGrid>
      <w:tr w:rsidR="00653BC8" w:rsidRPr="00B05B01" w14:paraId="23D93358" w14:textId="77777777" w:rsidTr="00591337">
        <w:tc>
          <w:tcPr>
            <w:tcW w:w="9923" w:type="dxa"/>
            <w:gridSpan w:val="2"/>
          </w:tcPr>
          <w:p w14:paraId="2DC96FF7" w14:textId="786641A0" w:rsidR="00653BC8" w:rsidRPr="00B05B01" w:rsidRDefault="00DE1BAF" w:rsidP="00211D86">
            <w:pPr>
              <w:pStyle w:val="Heading2"/>
              <w:numPr>
                <w:ilvl w:val="0"/>
                <w:numId w:val="22"/>
              </w:numPr>
              <w:ind w:left="313" w:hanging="284"/>
              <w:rPr>
                <w:rFonts w:cstheme="majorHAnsi"/>
                <w:b/>
                <w:bCs/>
                <w:color w:val="auto"/>
                <w:sz w:val="22"/>
                <w:szCs w:val="22"/>
              </w:rPr>
            </w:pPr>
            <w:bookmarkStart w:id="2" w:name="_Toc81223235"/>
            <w:bookmarkStart w:id="3" w:name="_Toc110837143"/>
            <w:bookmarkStart w:id="4" w:name="_Toc459964647"/>
            <w:bookmarkStart w:id="5" w:name="_Toc58403966"/>
            <w:r w:rsidRPr="00B05B01">
              <w:rPr>
                <w:rFonts w:cstheme="majorHAnsi"/>
                <w:b/>
                <w:bCs/>
                <w:color w:val="auto"/>
                <w:sz w:val="22"/>
                <w:szCs w:val="22"/>
              </w:rPr>
              <w:lastRenderedPageBreak/>
              <w:t>SPECIALIOSIOS SĄVOKOS IR SUTRUMPINIMAI</w:t>
            </w:r>
            <w:bookmarkEnd w:id="2"/>
            <w:bookmarkEnd w:id="3"/>
            <w:bookmarkEnd w:id="4"/>
            <w:bookmarkEnd w:id="5"/>
          </w:p>
        </w:tc>
      </w:tr>
      <w:tr w:rsidR="00CD7DD3" w:rsidRPr="00B05B01" w14:paraId="11BAD5F5" w14:textId="77777777" w:rsidTr="00591337">
        <w:tc>
          <w:tcPr>
            <w:tcW w:w="2268" w:type="dxa"/>
            <w:vAlign w:val="center"/>
          </w:tcPr>
          <w:p w14:paraId="5E937DED" w14:textId="61EEE827" w:rsidR="00CD7DD3" w:rsidRPr="00B05B01" w:rsidRDefault="00CD7DD3"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Bendrovė</w:t>
            </w:r>
          </w:p>
        </w:tc>
        <w:tc>
          <w:tcPr>
            <w:tcW w:w="7655" w:type="dxa"/>
          </w:tcPr>
          <w:p w14:paraId="5B52C776" w14:textId="05F09D8D" w:rsidR="00CD7DD3" w:rsidRPr="00B05B01" w:rsidRDefault="001902D3"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Uždaroji akcinė bendrovė</w:t>
            </w:r>
            <w:r w:rsidR="00CD7DD3" w:rsidRPr="00591337">
              <w:rPr>
                <w:rFonts w:asciiTheme="majorHAnsi" w:hAnsiTheme="majorHAnsi" w:cstheme="majorHAnsi"/>
                <w:sz w:val="22"/>
                <w:szCs w:val="22"/>
              </w:rPr>
              <w:t xml:space="preserve"> „Vilniaus vandenys“</w:t>
            </w:r>
          </w:p>
        </w:tc>
      </w:tr>
      <w:tr w:rsidR="00CD7DD3" w:rsidRPr="00B05B01" w14:paraId="46EE0A38" w14:textId="77777777" w:rsidTr="00591337">
        <w:tc>
          <w:tcPr>
            <w:tcW w:w="2268" w:type="dxa"/>
            <w:vAlign w:val="center"/>
          </w:tcPr>
          <w:p w14:paraId="1DC235FC" w14:textId="48713372" w:rsidR="00CD7DD3" w:rsidRPr="00B05B01" w:rsidRDefault="00CD7DD3"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Dovana</w:t>
            </w:r>
          </w:p>
        </w:tc>
        <w:tc>
          <w:tcPr>
            <w:tcW w:w="7655" w:type="dxa"/>
          </w:tcPr>
          <w:p w14:paraId="3E9DCDD4" w14:textId="7AD8D89A" w:rsidR="00CD7DD3" w:rsidRPr="00B05B01" w:rsidRDefault="00A7297B"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vaišingumo dovanos, paslaugos, privilegijos, nuolaidos, vartoti skirtos dovanos, apmokėjimas už maitinimą, apgyvendinimą, transportą ir pan.), ir kai tokia Dovana tiesiogiai susijusi su Bendrovės veikla ir (ar) darbuotojo ar valdybos nario atliekamomis pareigomis. Tai apima ir naudą, kurią gauna tretieji asmenys, pvz., artimieji, pažįstami ir pan. Dovana nelaikomi tik mažos vertės daiktai, turintys informacinę paskirtį (brošiūros, bukletai, katalogai).</w:t>
            </w:r>
          </w:p>
        </w:tc>
      </w:tr>
      <w:tr w:rsidR="00CD7DD3" w:rsidRPr="00B05B01" w14:paraId="54003122" w14:textId="77777777" w:rsidTr="00591337">
        <w:tc>
          <w:tcPr>
            <w:tcW w:w="2268" w:type="dxa"/>
            <w:vAlign w:val="center"/>
          </w:tcPr>
          <w:p w14:paraId="524E4D31" w14:textId="7A7374BD" w:rsidR="00CD7DD3" w:rsidRPr="00B05B01" w:rsidRDefault="00CD7DD3"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Interesų konfliktas</w:t>
            </w:r>
          </w:p>
        </w:tc>
        <w:tc>
          <w:tcPr>
            <w:tcW w:w="7655" w:type="dxa"/>
          </w:tcPr>
          <w:p w14:paraId="20F43774" w14:textId="6BFA767E" w:rsidR="00CD7DD3" w:rsidRPr="00B05B01" w:rsidRDefault="002A4296" w:rsidP="00CD7DD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Situacija, kai valdybos narys ar darbuotojas, atlikdamas pareigas ar vykdydamas pavedimą, turi priimti ar dalyvauti priimant sprendimą arba įvykdyti pavedimą, kuris susijęs su jo privačiais interesais.</w:t>
            </w:r>
          </w:p>
        </w:tc>
      </w:tr>
      <w:tr w:rsidR="00DC7693" w:rsidRPr="00B05B01" w14:paraId="29C2BB75" w14:textId="77777777" w:rsidTr="00591337">
        <w:tc>
          <w:tcPr>
            <w:tcW w:w="2268" w:type="dxa"/>
          </w:tcPr>
          <w:p w14:paraId="40604C58" w14:textId="5E47B41C" w:rsidR="00DC7693" w:rsidRPr="00591337" w:rsidRDefault="00DC7693" w:rsidP="00DC7693">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bCs/>
                <w:sz w:val="22"/>
                <w:szCs w:val="22"/>
              </w:rPr>
              <w:t>Kontrahentai</w:t>
            </w:r>
          </w:p>
        </w:tc>
        <w:tc>
          <w:tcPr>
            <w:tcW w:w="7655" w:type="dxa"/>
          </w:tcPr>
          <w:p w14:paraId="495DAD00" w14:textId="7FD588A9" w:rsidR="00DC7693" w:rsidRPr="00591337" w:rsidRDefault="00DC7693" w:rsidP="00DC7693">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Bendrovės paslaugų, prekių tiekėjai, rangovai, konsultantai, kurie atlieka bet kokias su Bendrove susijusias pareigas, vykdo pavedimus, teikia konsultacijas arba informaciją, ar atlieka kitus veiksmus, kurie gali daryti įtaką Bendrovės teisėms ar pareigoms.</w:t>
            </w:r>
          </w:p>
        </w:tc>
      </w:tr>
      <w:tr w:rsidR="00DC7693" w:rsidRPr="00B05B01" w14:paraId="73D641F2" w14:textId="77777777" w:rsidTr="00591337">
        <w:tc>
          <w:tcPr>
            <w:tcW w:w="2268" w:type="dxa"/>
            <w:vAlign w:val="center"/>
          </w:tcPr>
          <w:p w14:paraId="19C729EA" w14:textId="255EE5E9" w:rsidR="00DC7693" w:rsidRPr="00B05B01" w:rsidRDefault="00DC7693" w:rsidP="00DC769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Korupcija</w:t>
            </w:r>
          </w:p>
        </w:tc>
        <w:tc>
          <w:tcPr>
            <w:tcW w:w="7655" w:type="dxa"/>
          </w:tcPr>
          <w:p w14:paraId="089FC1B0" w14:textId="02A0A501" w:rsidR="00DC7693" w:rsidRPr="00B05B01" w:rsidRDefault="0071360A" w:rsidP="00DC7693">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Piktnaudžiavimas įgaliojimais siekiant naudos sau ar kitam asmeniui viešajame ar privačiame sektoriuje.</w:t>
            </w:r>
          </w:p>
        </w:tc>
      </w:tr>
      <w:tr w:rsidR="00CF2764" w:rsidRPr="00B05B01" w14:paraId="43574BC2" w14:textId="77777777" w:rsidTr="00DA78AF">
        <w:tc>
          <w:tcPr>
            <w:tcW w:w="2268" w:type="dxa"/>
            <w:vAlign w:val="center"/>
          </w:tcPr>
          <w:p w14:paraId="2A9C4080" w14:textId="5E51EC1B" w:rsidR="00CF2764" w:rsidRPr="00591337" w:rsidRDefault="00CF2764" w:rsidP="00CF2764">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Korupcijos formos</w:t>
            </w:r>
          </w:p>
        </w:tc>
        <w:tc>
          <w:tcPr>
            <w:tcW w:w="7655" w:type="dxa"/>
          </w:tcPr>
          <w:p w14:paraId="476330E3" w14:textId="07DBA253" w:rsidR="00CF2764" w:rsidRPr="00591337" w:rsidRDefault="00CF2764" w:rsidP="00CF2764">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Nepotizmas, kronizmas, mokesčių vengimas, karteliniai susitarimai.</w:t>
            </w:r>
          </w:p>
        </w:tc>
      </w:tr>
      <w:tr w:rsidR="00F106E9" w:rsidRPr="00B05B01" w14:paraId="22985BE1" w14:textId="77777777" w:rsidTr="00591337">
        <w:tc>
          <w:tcPr>
            <w:tcW w:w="2268" w:type="dxa"/>
          </w:tcPr>
          <w:p w14:paraId="524874EE" w14:textId="77777777" w:rsidR="00F106E9" w:rsidRPr="00B05B01" w:rsidRDefault="00F106E9" w:rsidP="00F106E9">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 xml:space="preserve">Korupcijos </w:t>
            </w:r>
          </w:p>
          <w:p w14:paraId="40BAC034" w14:textId="77777777" w:rsidR="00F106E9" w:rsidRPr="00B05B01" w:rsidRDefault="00F106E9" w:rsidP="00F106E9">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prevencija</w:t>
            </w:r>
          </w:p>
          <w:p w14:paraId="7B357487" w14:textId="77777777" w:rsidR="00F106E9" w:rsidRPr="00B05B01" w:rsidRDefault="00F106E9" w:rsidP="00F106E9">
            <w:pPr>
              <w:pStyle w:val="ListParagraph"/>
              <w:suppressAutoHyphens/>
              <w:ind w:left="315"/>
              <w:jc w:val="both"/>
              <w:rPr>
                <w:rFonts w:asciiTheme="majorHAnsi" w:hAnsiTheme="majorHAnsi" w:cstheme="majorHAnsi"/>
                <w:b/>
                <w:sz w:val="22"/>
                <w:szCs w:val="22"/>
              </w:rPr>
            </w:pPr>
          </w:p>
        </w:tc>
        <w:tc>
          <w:tcPr>
            <w:tcW w:w="7655" w:type="dxa"/>
          </w:tcPr>
          <w:p w14:paraId="4CC4525B" w14:textId="576C5A63" w:rsidR="00F106E9" w:rsidRPr="00B05B01" w:rsidRDefault="00F106E9" w:rsidP="00F106E9">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bCs/>
                <w:sz w:val="22"/>
                <w:szCs w:val="22"/>
              </w:rPr>
              <w:t>Sisteminga veikla, kuria siekiama didinti Bendrovės atsparumą korupcijai ir kuri apima korupcijos rizikos veiksnių nustatymą, įvertinimą, šalinimą ir (ar) mažinimą, sudarant bei įgyvendinant korupcijai atsparios aplinkos kūrimo priemonių sistemą.</w:t>
            </w:r>
          </w:p>
        </w:tc>
      </w:tr>
      <w:tr w:rsidR="001F3E0F" w:rsidRPr="00B05B01" w14:paraId="51C3D6CE" w14:textId="77777777" w:rsidTr="00745F43">
        <w:tc>
          <w:tcPr>
            <w:tcW w:w="2268" w:type="dxa"/>
          </w:tcPr>
          <w:p w14:paraId="32EC69FB" w14:textId="0E85574B" w:rsidR="001F3E0F" w:rsidRPr="00B05B01" w:rsidRDefault="001F3E0F" w:rsidP="001F3E0F">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bCs/>
                <w:color w:val="000000" w:themeColor="text1"/>
                <w:sz w:val="22"/>
                <w:szCs w:val="22"/>
              </w:rPr>
              <w:t>Korupcinio pobūdžio teisės pažeidimas</w:t>
            </w:r>
          </w:p>
        </w:tc>
        <w:tc>
          <w:tcPr>
            <w:tcW w:w="7655" w:type="dxa"/>
          </w:tcPr>
          <w:p w14:paraId="32AA7E81" w14:textId="2C72A007" w:rsidR="001F3E0F" w:rsidRPr="00B05B01" w:rsidRDefault="001F3E0F" w:rsidP="001F3E0F">
            <w:pPr>
              <w:pStyle w:val="ListParagraph"/>
              <w:suppressAutoHyphens/>
              <w:ind w:left="315"/>
              <w:jc w:val="both"/>
              <w:rPr>
                <w:rFonts w:asciiTheme="majorHAnsi" w:hAnsiTheme="majorHAnsi" w:cstheme="majorHAnsi"/>
                <w:bCs/>
                <w:sz w:val="22"/>
                <w:szCs w:val="22"/>
              </w:rPr>
            </w:pPr>
            <w:r w:rsidRPr="00B05B01">
              <w:rPr>
                <w:rFonts w:asciiTheme="majorHAnsi" w:hAnsiTheme="majorHAnsi" w:cstheme="majorHAnsi"/>
                <w:color w:val="000000" w:themeColor="text1"/>
                <w:sz w:val="22"/>
                <w:szCs w:val="22"/>
              </w:rPr>
              <w:t>Administracinis nusižengimas, darbo pareigų pažeidimas, padaromas piktnaudžiaujant įgaliojimais ir tiesiogiai ar netiesiogiai siekiant naudos sau ar kitam asmeniui, taip pat korupcinio pobūdžio nusikalstama veika.</w:t>
            </w:r>
          </w:p>
        </w:tc>
      </w:tr>
      <w:tr w:rsidR="001F3E0F" w:rsidRPr="00B05B01" w14:paraId="64B4D31E" w14:textId="77777777" w:rsidTr="00591337">
        <w:tc>
          <w:tcPr>
            <w:tcW w:w="2268" w:type="dxa"/>
            <w:vAlign w:val="center"/>
          </w:tcPr>
          <w:p w14:paraId="2DFE5AF6" w14:textId="447206D5" w:rsidR="001F3E0F" w:rsidRPr="00B05B01" w:rsidRDefault="001F3E0F" w:rsidP="001F3E0F">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Korupcinio pobūdžio nusikalstamos veikos</w:t>
            </w:r>
          </w:p>
        </w:tc>
        <w:tc>
          <w:tcPr>
            <w:tcW w:w="7655" w:type="dxa"/>
          </w:tcPr>
          <w:p w14:paraId="657CEE7F" w14:textId="77777777" w:rsidR="001F3E0F" w:rsidRPr="00B05B01" w:rsidRDefault="001F3E0F" w:rsidP="001F3E0F">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1) kyšininkavimas, prekyba poveikiu, papirkimas, piktnaudžiavimas; 2) 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 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w:t>
            </w:r>
          </w:p>
          <w:p w14:paraId="11F4502F" w14:textId="04D6652B" w:rsidR="001F3E0F" w:rsidRPr="00B05B01" w:rsidRDefault="001F3E0F" w:rsidP="001F3E0F">
            <w:pPr>
              <w:pStyle w:val="ListParagraph"/>
              <w:suppressAutoHyphens/>
              <w:ind w:left="315"/>
              <w:jc w:val="both"/>
              <w:rPr>
                <w:rFonts w:asciiTheme="majorHAnsi" w:hAnsiTheme="majorHAnsi" w:cstheme="majorHAnsi"/>
                <w:bCs/>
                <w:sz w:val="22"/>
                <w:szCs w:val="22"/>
              </w:rPr>
            </w:pPr>
            <w:r w:rsidRPr="00B05B01">
              <w:rPr>
                <w:rFonts w:asciiTheme="majorHAnsi" w:hAnsiTheme="majorHAnsi" w:cstheme="majorHAnsi"/>
                <w:sz w:val="22"/>
                <w:szCs w:val="22"/>
              </w:rPr>
              <w:t>3) kitos nusikalstamos veikos, kuriomis siekiama kyšio, papirkimo arba nuslėpti ar užmaskuoti kyšininkavimą, prekybą poveikiu ar papirkimą.</w:t>
            </w:r>
          </w:p>
        </w:tc>
      </w:tr>
      <w:tr w:rsidR="001F3E0F" w:rsidRPr="00B05B01" w14:paraId="1053DA42" w14:textId="77777777" w:rsidTr="00591337">
        <w:tc>
          <w:tcPr>
            <w:tcW w:w="2268" w:type="dxa"/>
            <w:vAlign w:val="center"/>
          </w:tcPr>
          <w:p w14:paraId="26BE3A31" w14:textId="40C9380F" w:rsidR="001F3E0F" w:rsidRPr="00B05B01" w:rsidRDefault="001F3E0F" w:rsidP="001F3E0F">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Kyšis</w:t>
            </w:r>
          </w:p>
        </w:tc>
        <w:tc>
          <w:tcPr>
            <w:tcW w:w="7655" w:type="dxa"/>
          </w:tcPr>
          <w:p w14:paraId="6ACB3241" w14:textId="027871E4" w:rsidR="001F3E0F" w:rsidRPr="00B05B01" w:rsidRDefault="001F3E0F" w:rsidP="001F3E0F">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 xml:space="preserve">Bet kokia forma išreikšta turtinė ar asmeninė nauda sau ar kitam asmeniui už pageidaujamą valstybės tarnautojo, jam prilyginto asmens ar Bendrovės </w:t>
            </w:r>
            <w:r w:rsidRPr="00591337">
              <w:rPr>
                <w:rFonts w:asciiTheme="majorHAnsi" w:hAnsiTheme="majorHAnsi" w:cstheme="majorHAnsi"/>
                <w:sz w:val="22"/>
                <w:szCs w:val="22"/>
              </w:rPr>
              <w:lastRenderedPageBreak/>
              <w:t>darbuotojo teisėtą ar neteisėtą veikimą arba neveikimą vykdant įgaliojimus. Asmeninė nauda gali būti materiali ar nemateriali, turinti ekonominę vertę rinkoje ar tokios vertės neturinti.</w:t>
            </w:r>
          </w:p>
        </w:tc>
      </w:tr>
      <w:tr w:rsidR="00FB27B1" w:rsidRPr="00B05B01" w14:paraId="44462D28" w14:textId="77777777" w:rsidTr="00DA78AF">
        <w:tc>
          <w:tcPr>
            <w:tcW w:w="2268" w:type="dxa"/>
            <w:vAlign w:val="center"/>
          </w:tcPr>
          <w:p w14:paraId="77643E55" w14:textId="10EF2851" w:rsidR="00FB27B1" w:rsidRPr="00591337" w:rsidRDefault="00FB27B1" w:rsidP="00FB27B1">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lastRenderedPageBreak/>
              <w:t>Kronizmas</w:t>
            </w:r>
          </w:p>
        </w:tc>
        <w:tc>
          <w:tcPr>
            <w:tcW w:w="7655" w:type="dxa"/>
          </w:tcPr>
          <w:p w14:paraId="5BB8313F" w14:textId="41EA62DF" w:rsidR="00FB27B1" w:rsidRPr="00591337" w:rsidRDefault="00FB27B1" w:rsidP="00FB27B1">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Draugų ir bičiulių protegavimas.</w:t>
            </w:r>
          </w:p>
        </w:tc>
      </w:tr>
      <w:tr w:rsidR="00FB27B1" w:rsidRPr="00B05B01" w14:paraId="4A70D401" w14:textId="77777777" w:rsidTr="00591337">
        <w:tc>
          <w:tcPr>
            <w:tcW w:w="2268" w:type="dxa"/>
            <w:vAlign w:val="center"/>
          </w:tcPr>
          <w:p w14:paraId="7ABBD36E" w14:textId="7BE217C4" w:rsidR="00FB27B1" w:rsidRPr="00B05B01" w:rsidRDefault="00FB27B1" w:rsidP="00FB27B1">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Nepotizmas</w:t>
            </w:r>
          </w:p>
        </w:tc>
        <w:tc>
          <w:tcPr>
            <w:tcW w:w="7655" w:type="dxa"/>
          </w:tcPr>
          <w:p w14:paraId="12AB232B" w14:textId="2BB6AD72" w:rsidR="00FB27B1" w:rsidRPr="00B05B01" w:rsidRDefault="00FB27B1" w:rsidP="00FB27B1">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 xml:space="preserve">Savo šeimos narių, giminaičių ar kitų artimų asmenų bet kokia globa ir protegavimas, naudojantis einamomis pareigomis, vardu ir galia.  </w:t>
            </w:r>
          </w:p>
        </w:tc>
      </w:tr>
      <w:tr w:rsidR="001C588D" w:rsidRPr="00B05B01" w14:paraId="30048636" w14:textId="77777777" w:rsidTr="00DA78AF">
        <w:tc>
          <w:tcPr>
            <w:tcW w:w="2268" w:type="dxa"/>
            <w:vAlign w:val="center"/>
          </w:tcPr>
          <w:p w14:paraId="78198C79" w14:textId="16B1A1BE" w:rsidR="001C588D" w:rsidRPr="00591337"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Neteisėtos dovanos</w:t>
            </w:r>
          </w:p>
        </w:tc>
        <w:tc>
          <w:tcPr>
            <w:tcW w:w="7655" w:type="dxa"/>
          </w:tcPr>
          <w:p w14:paraId="072EF89E" w14:textId="3796C5E6" w:rsidR="001C588D" w:rsidRPr="00591337" w:rsidRDefault="001C588D" w:rsidP="001C588D">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Dovanos ar paslaugos, susijusios su darbuotojo pareigomis, kai jos neatitinka tarptautinio protokolo, tradicijų, nėra skirtos reprezentacijai ar yra draudžiamos pagal teisės aktus ir nepriimtinos pagal visuomenės etikos normas.</w:t>
            </w:r>
          </w:p>
        </w:tc>
      </w:tr>
      <w:tr w:rsidR="001C588D" w:rsidRPr="00B05B01" w14:paraId="59861E95" w14:textId="77777777" w:rsidTr="00DA78AF">
        <w:tc>
          <w:tcPr>
            <w:tcW w:w="2268" w:type="dxa"/>
            <w:vAlign w:val="center"/>
          </w:tcPr>
          <w:p w14:paraId="2E32D429" w14:textId="77777777" w:rsidR="001C588D" w:rsidRPr="00B05B01"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 xml:space="preserve">Nulinė tolerancija </w:t>
            </w:r>
          </w:p>
          <w:p w14:paraId="65061144" w14:textId="6F01E6EF" w:rsidR="001C588D" w:rsidRPr="00591337"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sz w:val="22"/>
                <w:szCs w:val="22"/>
              </w:rPr>
              <w:t>korupcijai</w:t>
            </w:r>
          </w:p>
        </w:tc>
        <w:tc>
          <w:tcPr>
            <w:tcW w:w="7655" w:type="dxa"/>
          </w:tcPr>
          <w:p w14:paraId="34D1390B" w14:textId="370547F3" w:rsidR="001C588D" w:rsidRPr="00591337" w:rsidRDefault="001C588D" w:rsidP="001C588D">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Korupcijos rizikos veiksnių netoleravimas, tinkamas korupcijos rizikų valdymas ir korupcijai atsparios aplinkos kūrimo priemonių taikymas Bendrovės veikloje, aukštas darbuotojų antikorupcinis sąmoningumas ir antikorupcinio elgesio lygis.</w:t>
            </w:r>
          </w:p>
        </w:tc>
      </w:tr>
      <w:tr w:rsidR="001C588D" w:rsidRPr="00B05B01" w14:paraId="0715F494" w14:textId="77777777" w:rsidTr="00DA78AF">
        <w:tc>
          <w:tcPr>
            <w:tcW w:w="2268" w:type="dxa"/>
            <w:vAlign w:val="center"/>
          </w:tcPr>
          <w:p w14:paraId="65310E72" w14:textId="60A6091F" w:rsidR="001C588D" w:rsidRPr="00591337"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bCs/>
                <w:noProof/>
                <w:sz w:val="22"/>
                <w:szCs w:val="22"/>
              </w:rPr>
              <w:t>Palengvinimo mokesčiai</w:t>
            </w:r>
          </w:p>
        </w:tc>
        <w:tc>
          <w:tcPr>
            <w:tcW w:w="7655" w:type="dxa"/>
          </w:tcPr>
          <w:p w14:paraId="26041E95" w14:textId="2C10D6EB" w:rsidR="001C588D" w:rsidRPr="00591337" w:rsidRDefault="00503784" w:rsidP="001C588D">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M</w:t>
            </w:r>
            <w:r w:rsidR="001C588D" w:rsidRPr="00B05B01">
              <w:rPr>
                <w:rFonts w:asciiTheme="majorHAnsi" w:hAnsiTheme="majorHAnsi" w:cstheme="majorHAnsi"/>
                <w:sz w:val="22"/>
                <w:szCs w:val="22"/>
              </w:rPr>
              <w:t>ažos vertės neoficialūs mokėjimai</w:t>
            </w:r>
            <w:r w:rsidRPr="00B05B01">
              <w:rPr>
                <w:rFonts w:asciiTheme="majorHAnsi" w:hAnsiTheme="majorHAnsi" w:cstheme="majorHAnsi"/>
                <w:sz w:val="22"/>
                <w:szCs w:val="22"/>
              </w:rPr>
              <w:t xml:space="preserve"> (angl. </w:t>
            </w:r>
            <w:r w:rsidRPr="00B05B01">
              <w:rPr>
                <w:rFonts w:asciiTheme="majorHAnsi" w:hAnsiTheme="majorHAnsi" w:cstheme="majorHAnsi"/>
                <w:noProof/>
                <w:sz w:val="22"/>
                <w:szCs w:val="22"/>
              </w:rPr>
              <w:t>facilitation payment</w:t>
            </w:r>
            <w:r w:rsidRPr="00B05B01">
              <w:rPr>
                <w:rFonts w:asciiTheme="majorHAnsi" w:hAnsiTheme="majorHAnsi" w:cstheme="majorHAnsi"/>
                <w:sz w:val="22"/>
                <w:szCs w:val="22"/>
              </w:rPr>
              <w:t>)</w:t>
            </w:r>
            <w:r w:rsidR="001C588D" w:rsidRPr="00B05B01">
              <w:rPr>
                <w:rFonts w:asciiTheme="majorHAnsi" w:hAnsiTheme="majorHAnsi" w:cstheme="majorHAnsi"/>
                <w:sz w:val="22"/>
                <w:szCs w:val="22"/>
              </w:rPr>
              <w:t>, sumokami dėl įprastos rutininės užduoties, kurią Bendrovė turėtų / galėtų gauti įstatymo nustatyta tvarka, atlikimo.</w:t>
            </w:r>
          </w:p>
        </w:tc>
      </w:tr>
      <w:tr w:rsidR="001C588D" w:rsidRPr="00B05B01" w14:paraId="4340896C" w14:textId="77777777" w:rsidTr="00DA78AF">
        <w:tc>
          <w:tcPr>
            <w:tcW w:w="2268" w:type="dxa"/>
            <w:vAlign w:val="center"/>
          </w:tcPr>
          <w:p w14:paraId="3E939E13" w14:textId="38C07A2D" w:rsidR="001C588D" w:rsidRPr="00591337"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bCs/>
                <w:noProof/>
                <w:sz w:val="22"/>
                <w:szCs w:val="22"/>
              </w:rPr>
              <w:t>Pareigybių sąrašas</w:t>
            </w:r>
          </w:p>
        </w:tc>
        <w:tc>
          <w:tcPr>
            <w:tcW w:w="7655" w:type="dxa"/>
          </w:tcPr>
          <w:p w14:paraId="402414D8" w14:textId="4B1BE6F7" w:rsidR="001C588D" w:rsidRPr="00591337" w:rsidRDefault="001C588D" w:rsidP="001C588D">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color w:val="000000"/>
                <w:sz w:val="22"/>
                <w:szCs w:val="22"/>
              </w:rPr>
              <w:t>Sąrašas pareigybių, dėl kurių teikiamas prašymas Lietuvos Respublikos specialiųjų tyrimų tarnybai pateikti informaciją apie asmenį, siekiantį eiti arba einantį pareigas  Bendrovėje.</w:t>
            </w:r>
          </w:p>
        </w:tc>
      </w:tr>
      <w:tr w:rsidR="001C588D" w:rsidRPr="00B05B01" w14:paraId="754D857D" w14:textId="77777777" w:rsidTr="00DA78AF">
        <w:tc>
          <w:tcPr>
            <w:tcW w:w="2268" w:type="dxa"/>
            <w:vAlign w:val="center"/>
          </w:tcPr>
          <w:p w14:paraId="09C07B74" w14:textId="08786AAD" w:rsidR="001C588D" w:rsidRPr="00591337" w:rsidRDefault="001C588D" w:rsidP="001C588D">
            <w:pPr>
              <w:pStyle w:val="ListParagraph"/>
              <w:suppressAutoHyphens/>
              <w:ind w:left="315"/>
              <w:jc w:val="both"/>
              <w:rPr>
                <w:rFonts w:asciiTheme="majorHAnsi" w:hAnsiTheme="majorHAnsi" w:cstheme="majorHAnsi"/>
                <w:b/>
                <w:sz w:val="22"/>
                <w:szCs w:val="22"/>
              </w:rPr>
            </w:pPr>
            <w:r w:rsidRPr="00B05B01">
              <w:rPr>
                <w:rFonts w:asciiTheme="majorHAnsi" w:hAnsiTheme="majorHAnsi" w:cstheme="majorHAnsi"/>
                <w:b/>
                <w:bCs/>
                <w:noProof/>
                <w:sz w:val="22"/>
                <w:szCs w:val="22"/>
              </w:rPr>
              <w:t>PINREG</w:t>
            </w:r>
          </w:p>
        </w:tc>
        <w:tc>
          <w:tcPr>
            <w:tcW w:w="7655" w:type="dxa"/>
          </w:tcPr>
          <w:p w14:paraId="384CCC7C" w14:textId="0EA11344" w:rsidR="001C588D" w:rsidRPr="00591337" w:rsidRDefault="001C588D" w:rsidP="001C588D">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color w:val="000000"/>
                <w:sz w:val="22"/>
                <w:szCs w:val="22"/>
              </w:rPr>
              <w:t>Privačių interesų registras, kuriame Bendrovės valdybos nariai, vadovai ir viešuosiuose pirkimuose dalyvaujantys asmenys deklaruoja privačius interesus, taip pat gautas dovanas.</w:t>
            </w:r>
          </w:p>
        </w:tc>
      </w:tr>
      <w:tr w:rsidR="001C588D" w:rsidRPr="00B05B01" w14:paraId="6D804FE2" w14:textId="77777777" w:rsidTr="00591337">
        <w:tc>
          <w:tcPr>
            <w:tcW w:w="2268" w:type="dxa"/>
            <w:vAlign w:val="center"/>
          </w:tcPr>
          <w:p w14:paraId="5118CCDA" w14:textId="72ADB6CE" w:rsidR="001C588D" w:rsidRPr="00B05B01" w:rsidRDefault="001C588D" w:rsidP="001C588D">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Politika</w:t>
            </w:r>
          </w:p>
        </w:tc>
        <w:tc>
          <w:tcPr>
            <w:tcW w:w="7655" w:type="dxa"/>
          </w:tcPr>
          <w:p w14:paraId="3F77AEF9" w14:textId="6D35008B" w:rsidR="001C588D" w:rsidRPr="00B05B01" w:rsidRDefault="001C588D" w:rsidP="001C588D">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 xml:space="preserve">UAB „Vilniaus vandenys“ </w:t>
            </w:r>
            <w:r w:rsidR="001D278B">
              <w:rPr>
                <w:rFonts w:asciiTheme="majorHAnsi" w:hAnsiTheme="majorHAnsi" w:cstheme="majorHAnsi"/>
                <w:sz w:val="22"/>
                <w:szCs w:val="22"/>
              </w:rPr>
              <w:t>korupcijai atsparios aplinkos kūrimo</w:t>
            </w:r>
            <w:r w:rsidRPr="00591337">
              <w:rPr>
                <w:rFonts w:asciiTheme="majorHAnsi" w:hAnsiTheme="majorHAnsi" w:cstheme="majorHAnsi"/>
                <w:sz w:val="22"/>
                <w:szCs w:val="22"/>
              </w:rPr>
              <w:t xml:space="preserve"> politika.</w:t>
            </w:r>
          </w:p>
        </w:tc>
      </w:tr>
      <w:tr w:rsidR="001C588D" w:rsidRPr="00B05B01" w14:paraId="270E3A20" w14:textId="77777777" w:rsidTr="00591337">
        <w:tc>
          <w:tcPr>
            <w:tcW w:w="2268" w:type="dxa"/>
            <w:vAlign w:val="center"/>
          </w:tcPr>
          <w:p w14:paraId="601730C5" w14:textId="62D7BBC6" w:rsidR="001C588D" w:rsidRPr="00B05B01" w:rsidRDefault="001C588D" w:rsidP="001C588D">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b/>
                <w:sz w:val="22"/>
                <w:szCs w:val="22"/>
              </w:rPr>
              <w:t>Prekyba poveikiu</w:t>
            </w:r>
          </w:p>
        </w:tc>
        <w:tc>
          <w:tcPr>
            <w:tcW w:w="7655" w:type="dxa"/>
          </w:tcPr>
          <w:p w14:paraId="74B6E222" w14:textId="094B985D" w:rsidR="001C588D" w:rsidRPr="00B05B01" w:rsidRDefault="001C588D" w:rsidP="001C588D">
            <w:pPr>
              <w:pStyle w:val="ListParagraph"/>
              <w:suppressAutoHyphens/>
              <w:ind w:left="315"/>
              <w:jc w:val="both"/>
              <w:rPr>
                <w:rFonts w:asciiTheme="majorHAnsi" w:hAnsiTheme="majorHAnsi" w:cstheme="majorHAnsi"/>
                <w:b/>
                <w:color w:val="000000"/>
                <w:sz w:val="22"/>
                <w:szCs w:val="22"/>
              </w:rPr>
            </w:pPr>
            <w:r w:rsidRPr="00591337">
              <w:rPr>
                <w:rFonts w:asciiTheme="majorHAnsi" w:hAnsiTheme="majorHAnsi" w:cstheme="majorHAnsi"/>
                <w:sz w:val="22"/>
                <w:szCs w:val="22"/>
              </w:rPr>
              <w:t>Neteisėto atlygio davimas, siūlymas ar priėmimas už siekimą pasinaudojant savo įtaka paveikti valstybės tarnautojo ar jam prilyginto asmens sprendimus.</w:t>
            </w:r>
          </w:p>
        </w:tc>
      </w:tr>
      <w:tr w:rsidR="00D9769A" w:rsidRPr="00B05B01" w14:paraId="6B27945F" w14:textId="77777777" w:rsidTr="00591337">
        <w:tc>
          <w:tcPr>
            <w:tcW w:w="2268" w:type="dxa"/>
          </w:tcPr>
          <w:p w14:paraId="38C482DC" w14:textId="67E6DA1F" w:rsidR="00D9769A" w:rsidRPr="00B05B01" w:rsidRDefault="00D9769A" w:rsidP="00D9769A">
            <w:pPr>
              <w:pStyle w:val="ListParagraph"/>
              <w:suppressAutoHyphens/>
              <w:ind w:left="315"/>
              <w:jc w:val="both"/>
              <w:rPr>
                <w:rFonts w:asciiTheme="majorHAnsi" w:hAnsiTheme="majorHAnsi" w:cstheme="majorHAnsi"/>
                <w:b/>
                <w:bCs/>
                <w:sz w:val="22"/>
                <w:szCs w:val="22"/>
              </w:rPr>
            </w:pPr>
            <w:r w:rsidRPr="00B05B01">
              <w:rPr>
                <w:rFonts w:asciiTheme="majorHAnsi" w:hAnsiTheme="majorHAnsi" w:cstheme="majorHAnsi"/>
                <w:b/>
                <w:bCs/>
                <w:sz w:val="22"/>
                <w:szCs w:val="22"/>
              </w:rPr>
              <w:t>Sprendimas</w:t>
            </w:r>
          </w:p>
        </w:tc>
        <w:tc>
          <w:tcPr>
            <w:tcW w:w="7655" w:type="dxa"/>
          </w:tcPr>
          <w:p w14:paraId="65DD0577" w14:textId="139E8B77" w:rsidR="00D9769A" w:rsidRPr="00B05B01" w:rsidRDefault="00D9769A" w:rsidP="00D9769A">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sz w:val="22"/>
                <w:szCs w:val="22"/>
              </w:rPr>
              <w:t xml:space="preserve">Lietuvos Respublikos viešųjų ir privačių interesų derinimo įstatymo prasme tai bet koks deklaruojančio asmens, atliekančio pareigas ar vykdančio pavedimą (savo tiesioginio vadovo ir pan.), veiksmas, kuris suprantamas, kaip darbo grupių, komisijų, komitetų, tarybos, valdybos veikloje dalyvavimas, tarnybinių raštų rašymas, įsakymų rengimas, atstovavimas, tarpininkavimas, dokumentų vizavimas ir t. t. </w:t>
            </w:r>
          </w:p>
        </w:tc>
      </w:tr>
      <w:tr w:rsidR="00D9769A" w:rsidRPr="00B05B01" w14:paraId="7BF21DD6" w14:textId="77777777" w:rsidTr="00591337">
        <w:tc>
          <w:tcPr>
            <w:tcW w:w="2268" w:type="dxa"/>
            <w:vAlign w:val="center"/>
          </w:tcPr>
          <w:p w14:paraId="506B8E1D" w14:textId="445904EF" w:rsidR="00D9769A" w:rsidRPr="00B05B01" w:rsidRDefault="00D9769A" w:rsidP="00D9769A">
            <w:pPr>
              <w:pStyle w:val="ListParagraph"/>
              <w:suppressAutoHyphens/>
              <w:ind w:left="315"/>
              <w:jc w:val="both"/>
              <w:rPr>
                <w:rFonts w:asciiTheme="majorHAnsi" w:hAnsiTheme="majorHAnsi" w:cstheme="majorHAnsi"/>
                <w:b/>
                <w:bCs/>
                <w:noProof/>
                <w:sz w:val="22"/>
                <w:szCs w:val="22"/>
              </w:rPr>
            </w:pPr>
            <w:r w:rsidRPr="00B05B01">
              <w:rPr>
                <w:rFonts w:asciiTheme="majorHAnsi" w:hAnsiTheme="majorHAnsi" w:cstheme="majorHAnsi"/>
                <w:b/>
                <w:bCs/>
                <w:noProof/>
                <w:sz w:val="22"/>
                <w:szCs w:val="22"/>
              </w:rPr>
              <w:t>Vadovybė</w:t>
            </w:r>
          </w:p>
        </w:tc>
        <w:tc>
          <w:tcPr>
            <w:tcW w:w="7655" w:type="dxa"/>
          </w:tcPr>
          <w:p w14:paraId="4937C7A0" w14:textId="261F2136" w:rsidR="00D9769A" w:rsidRPr="00B05B01" w:rsidRDefault="00D9769A" w:rsidP="00D9769A">
            <w:pPr>
              <w:pStyle w:val="ListParagraph"/>
              <w:suppressAutoHyphens/>
              <w:ind w:left="315"/>
              <w:jc w:val="both"/>
              <w:rPr>
                <w:rFonts w:asciiTheme="majorHAnsi" w:hAnsiTheme="majorHAnsi" w:cstheme="majorHAnsi"/>
                <w:sz w:val="22"/>
                <w:szCs w:val="22"/>
              </w:rPr>
            </w:pPr>
            <w:r w:rsidRPr="00B05B01">
              <w:rPr>
                <w:rFonts w:asciiTheme="majorHAnsi" w:hAnsiTheme="majorHAnsi" w:cstheme="majorHAnsi"/>
                <w:color w:val="000000"/>
                <w:sz w:val="22"/>
                <w:szCs w:val="22"/>
              </w:rPr>
              <w:t>Bendrovės valdyba, audito, rizikų ir tvarumo komitetas, vadovų taryba ir generalinis direktorius.</w:t>
            </w:r>
          </w:p>
        </w:tc>
      </w:tr>
      <w:tr w:rsidR="00D9769A" w:rsidRPr="00B05B01" w14:paraId="1D1D15E9" w14:textId="77777777" w:rsidTr="00591337">
        <w:tc>
          <w:tcPr>
            <w:tcW w:w="2268" w:type="dxa"/>
          </w:tcPr>
          <w:p w14:paraId="0578EFF0" w14:textId="5387B1C1" w:rsidR="00D9769A" w:rsidRPr="00B05B01" w:rsidRDefault="00D9769A" w:rsidP="00D9769A">
            <w:pPr>
              <w:pStyle w:val="ListParagraph"/>
              <w:suppressAutoHyphens/>
              <w:ind w:left="315"/>
              <w:jc w:val="both"/>
              <w:rPr>
                <w:rFonts w:asciiTheme="majorHAnsi" w:hAnsiTheme="majorHAnsi" w:cstheme="majorHAnsi"/>
                <w:b/>
                <w:bCs/>
                <w:noProof/>
                <w:sz w:val="22"/>
                <w:szCs w:val="22"/>
              </w:rPr>
            </w:pPr>
            <w:r w:rsidRPr="00B05B01">
              <w:rPr>
                <w:rFonts w:asciiTheme="majorHAnsi" w:hAnsiTheme="majorHAnsi" w:cstheme="majorHAnsi"/>
                <w:b/>
                <w:bCs/>
                <w:sz w:val="22"/>
                <w:szCs w:val="22"/>
              </w:rPr>
              <w:t>Susitikimas su išorės subjektais</w:t>
            </w:r>
          </w:p>
        </w:tc>
        <w:tc>
          <w:tcPr>
            <w:tcW w:w="7655" w:type="dxa"/>
          </w:tcPr>
          <w:p w14:paraId="0B998F5A" w14:textId="17BB1EDE" w:rsidR="00D9769A" w:rsidRPr="00B05B01" w:rsidRDefault="00D9769A" w:rsidP="00D9769A">
            <w:pPr>
              <w:pStyle w:val="ListParagraph"/>
              <w:suppressAutoHyphens/>
              <w:ind w:left="315"/>
              <w:jc w:val="both"/>
              <w:rPr>
                <w:rFonts w:asciiTheme="majorHAnsi" w:hAnsiTheme="majorHAnsi" w:cstheme="majorHAnsi"/>
                <w:color w:val="000000"/>
                <w:sz w:val="22"/>
                <w:szCs w:val="22"/>
              </w:rPr>
            </w:pPr>
            <w:r w:rsidRPr="00B05B01">
              <w:rPr>
                <w:rFonts w:asciiTheme="majorHAnsi" w:hAnsiTheme="majorHAnsi" w:cstheme="majorHAnsi"/>
                <w:sz w:val="22"/>
                <w:szCs w:val="22"/>
              </w:rPr>
              <w:t>Nuotolinis ar gyvas dvišalis susitikimas, kuriame Bendrovės vadovai arba viešuosiuose pirkimuose dalyvaujantis darbuotojas, vykdydamas pareigybės aprašyme nurodytas funkcijas, atstovauja Bendrovės interesams. Ši sąvoka neapima susitikimų su Bendrovės steigėju ir /ar jo įsteigtų savivaldybės valdomų įmonių, taip pat Lietuvos Respublikos aplinkos ministerijos ir / ar jai pavaldžių įstaigų, įmonių atstovais.</w:t>
            </w:r>
            <w:r w:rsidRPr="00591337">
              <w:rPr>
                <w:rFonts w:asciiTheme="majorHAnsi" w:hAnsiTheme="majorHAnsi" w:cstheme="majorHAnsi"/>
                <w:sz w:val="22"/>
                <w:szCs w:val="22"/>
              </w:rPr>
              <w:t xml:space="preserve"> </w:t>
            </w:r>
            <w:r w:rsidRPr="00B05B01">
              <w:rPr>
                <w:rFonts w:asciiTheme="majorHAnsi" w:hAnsiTheme="majorHAnsi" w:cstheme="majorHAnsi"/>
                <w:sz w:val="22"/>
                <w:szCs w:val="22"/>
              </w:rPr>
              <w:t>Išorės subjektas laikytinas fizinis asmuo ar juridinio asmens atstovas, kurio su Bendrove nesaisto darbo teisiniai santykiai.</w:t>
            </w:r>
          </w:p>
        </w:tc>
      </w:tr>
      <w:tr w:rsidR="00D9769A" w:rsidRPr="00B05B01" w14:paraId="3B6952FD" w14:textId="77777777" w:rsidTr="00DA78AF">
        <w:tc>
          <w:tcPr>
            <w:tcW w:w="2268" w:type="dxa"/>
            <w:vAlign w:val="center"/>
          </w:tcPr>
          <w:p w14:paraId="6DC95D75" w14:textId="009BF7C1" w:rsidR="00D9769A" w:rsidRPr="00B05B01" w:rsidRDefault="00D9769A" w:rsidP="00D9769A">
            <w:pPr>
              <w:pStyle w:val="ListParagraph"/>
              <w:suppressAutoHyphens/>
              <w:ind w:left="315"/>
              <w:jc w:val="both"/>
              <w:rPr>
                <w:rFonts w:asciiTheme="majorHAnsi" w:hAnsiTheme="majorHAnsi" w:cstheme="majorHAnsi"/>
                <w:b/>
                <w:bCs/>
                <w:noProof/>
                <w:sz w:val="22"/>
                <w:szCs w:val="22"/>
              </w:rPr>
            </w:pPr>
            <w:r w:rsidRPr="00B05B01">
              <w:rPr>
                <w:rFonts w:asciiTheme="majorHAnsi" w:hAnsiTheme="majorHAnsi" w:cstheme="majorHAnsi"/>
                <w:b/>
                <w:bCs/>
                <w:noProof/>
                <w:sz w:val="22"/>
                <w:szCs w:val="22"/>
              </w:rPr>
              <w:t>Suinteresuotos šalys</w:t>
            </w:r>
          </w:p>
        </w:tc>
        <w:tc>
          <w:tcPr>
            <w:tcW w:w="7655" w:type="dxa"/>
          </w:tcPr>
          <w:p w14:paraId="611345CA" w14:textId="7A7C5710" w:rsidR="00D9769A" w:rsidRPr="00B05B01" w:rsidRDefault="00D9769A" w:rsidP="00D9769A">
            <w:pPr>
              <w:pStyle w:val="ListParagraph"/>
              <w:suppressAutoHyphens/>
              <w:ind w:left="315"/>
              <w:jc w:val="both"/>
              <w:rPr>
                <w:rFonts w:asciiTheme="majorHAnsi" w:hAnsiTheme="majorHAnsi" w:cstheme="majorHAnsi"/>
                <w:color w:val="000000"/>
                <w:sz w:val="22"/>
                <w:szCs w:val="22"/>
              </w:rPr>
            </w:pPr>
            <w:r w:rsidRPr="00B05B01">
              <w:rPr>
                <w:rFonts w:asciiTheme="majorHAnsi" w:hAnsiTheme="majorHAnsi" w:cstheme="majorHAnsi"/>
                <w:color w:val="000000"/>
                <w:sz w:val="22"/>
                <w:szCs w:val="22"/>
              </w:rPr>
              <w:t>Fizinis, juridinis asmuo ar jų grupės, organizacijos, institucijos ar įstaigos (bet kokios juridinės formos, neatsižvelgiant į jų naudos gavėjus), turintys skirtingus lūkesčius, poreikius ar įtaką Bendrovės ar jos veiklos atžvilgiu, pavyzdžiui,  vietinės bendruomenės, klientai, veiklos partneriai, akcininkai, investuotojai, nevyriausybinės organizacijos, žiniasklaida, valstybės ir savivaldybės institucijos, savivaldybės valdomos įmonės ir kt.</w:t>
            </w:r>
          </w:p>
        </w:tc>
      </w:tr>
    </w:tbl>
    <w:p w14:paraId="2BAA8560" w14:textId="77777777" w:rsidR="007D0346" w:rsidRPr="00B05B01" w:rsidRDefault="007D0346" w:rsidP="00211D86">
      <w:pPr>
        <w:tabs>
          <w:tab w:val="left" w:pos="1134"/>
        </w:tabs>
        <w:spacing w:after="0" w:line="240" w:lineRule="auto"/>
        <w:jc w:val="both"/>
        <w:rPr>
          <w:rFonts w:asciiTheme="majorHAnsi" w:hAnsiTheme="majorHAnsi" w:cstheme="majorHAnsi"/>
          <w:lang w:val="lt-LT"/>
        </w:rPr>
      </w:pPr>
    </w:p>
    <w:p w14:paraId="6B188614" w14:textId="77777777" w:rsidR="00B8657F" w:rsidRPr="00B05B01" w:rsidRDefault="00B8657F" w:rsidP="00B8657F">
      <w:pPr>
        <w:pStyle w:val="Heading2"/>
        <w:numPr>
          <w:ilvl w:val="0"/>
          <w:numId w:val="22"/>
        </w:numPr>
        <w:ind w:left="284" w:hanging="284"/>
        <w:jc w:val="both"/>
        <w:rPr>
          <w:rFonts w:cstheme="majorHAnsi"/>
          <w:b/>
          <w:bCs/>
          <w:color w:val="auto"/>
          <w:sz w:val="22"/>
          <w:szCs w:val="22"/>
          <w:lang w:val="lt-LT"/>
        </w:rPr>
      </w:pPr>
      <w:bookmarkStart w:id="6" w:name="_Toc58403967"/>
      <w:r w:rsidRPr="00B05B01">
        <w:rPr>
          <w:rFonts w:cstheme="majorHAnsi"/>
          <w:b/>
          <w:bCs/>
          <w:color w:val="auto"/>
          <w:sz w:val="22"/>
          <w:szCs w:val="22"/>
          <w:lang w:val="lt-LT"/>
        </w:rPr>
        <w:t>BENDR</w:t>
      </w:r>
      <w:r w:rsidRPr="00B05B01">
        <w:rPr>
          <w:rFonts w:cstheme="majorHAnsi"/>
          <w:b/>
          <w:bCs/>
          <w:color w:val="auto"/>
          <w:sz w:val="22"/>
          <w:szCs w:val="22"/>
        </w:rPr>
        <w:t>OSIOS NUOSTATOS</w:t>
      </w:r>
    </w:p>
    <w:p w14:paraId="6EA0C7AF" w14:textId="52952034" w:rsidR="00FB41A3" w:rsidRPr="00B05B01" w:rsidRDefault="00FB41A3" w:rsidP="00FB41A3">
      <w:pPr>
        <w:pStyle w:val="ListParagraph"/>
        <w:numPr>
          <w:ilvl w:val="1"/>
          <w:numId w:val="22"/>
        </w:numPr>
        <w:ind w:left="284" w:hanging="11"/>
        <w:jc w:val="both"/>
        <w:rPr>
          <w:rFonts w:asciiTheme="majorHAnsi" w:hAnsiTheme="majorHAnsi" w:cstheme="majorHAnsi"/>
          <w:sz w:val="22"/>
          <w:szCs w:val="22"/>
        </w:rPr>
      </w:pPr>
      <w:bookmarkStart w:id="7" w:name="_Hlk58401584"/>
      <w:bookmarkEnd w:id="6"/>
      <w:r w:rsidRPr="00B05B01">
        <w:rPr>
          <w:rFonts w:asciiTheme="majorHAnsi" w:hAnsiTheme="majorHAnsi" w:cstheme="majorHAnsi"/>
          <w:sz w:val="22"/>
          <w:szCs w:val="22"/>
        </w:rPr>
        <w:t>Politika yra uždarosios akcinės bendrovės „Vilniaus vandenys“ pagrindinis korupcijai atsparios aplinkos kūrimo dokumentas, kuriuo Bendrovė, įgyvendindama jai pavestus uždavinius ir atlikdama nustatytas funkcijas</w:t>
      </w:r>
      <w:r w:rsidR="002B23B3">
        <w:rPr>
          <w:rFonts w:asciiTheme="majorHAnsi" w:hAnsiTheme="majorHAnsi" w:cstheme="majorHAnsi"/>
          <w:sz w:val="22"/>
          <w:szCs w:val="22"/>
        </w:rPr>
        <w:t>,</w:t>
      </w:r>
      <w:r w:rsidRPr="00B05B01">
        <w:rPr>
          <w:rFonts w:asciiTheme="majorHAnsi" w:hAnsiTheme="majorHAnsi" w:cstheme="majorHAnsi"/>
          <w:sz w:val="22"/>
          <w:szCs w:val="22"/>
        </w:rPr>
        <w:t xml:space="preserve"> įsipareigoja nesitaikstyti su korupcija, laikytis tarptautinių ir Lietuvos Respublikos korupcijos prevencijos srities teisės aktų nuostatų ir/ ar reikalavimų bei viešai deklaruoja, kad Bendrovė netoleruoja neetiško elgesio, neteisėtų dovanų, nepotizmo, interesų konflikto, korupcinio pobūdžio teisės pažeidimų, jokių kitų korupcijos pasireiškimo formų. Kai Politika, įstatymai ar kiti teisės aktai nenustato atitinkamų elgesio normų, Bendrovė įsipareigoja elgtis taip, kad jos elgesys atitiktų visuomenėje priimtinus aukščiausius patikimumo, sąžiningumo ir skaidrumo standartus.</w:t>
      </w:r>
    </w:p>
    <w:p w14:paraId="5A6D0A52" w14:textId="49902D1D" w:rsidR="00136810" w:rsidRPr="00B05B01" w:rsidRDefault="00FB41A3" w:rsidP="00591337">
      <w:pPr>
        <w:pStyle w:val="ListParagraph"/>
        <w:ind w:left="284"/>
        <w:jc w:val="both"/>
        <w:rPr>
          <w:rFonts w:asciiTheme="majorHAnsi" w:hAnsiTheme="majorHAnsi" w:cstheme="majorHAnsi"/>
          <w:sz w:val="22"/>
          <w:szCs w:val="22"/>
        </w:rPr>
      </w:pPr>
      <w:r w:rsidRPr="00B05B01">
        <w:rPr>
          <w:rFonts w:asciiTheme="majorHAnsi" w:hAnsiTheme="majorHAnsi" w:cstheme="majorHAnsi"/>
          <w:sz w:val="22"/>
          <w:szCs w:val="22"/>
        </w:rPr>
        <w:t xml:space="preserve">2.2. Bendrovė laikosi viešųjų ir privačių interesų derinimo, kuria korupcijai atsparią aplinką, sistemiškai ir koordinuotai valdo korupcijos rizikos veiksnius mažinant korupcijos riziką, užtikrina skaidrų, sąžiningą ir atvirą Bendrovės paslaugų teikimą, didina darbuotojų antikorupcinį sąmoningumą, skatina aktyvų darbuotojų įsitraukimą į antikorupcinės aplinkos kūrimą.  </w:t>
      </w:r>
    </w:p>
    <w:p w14:paraId="606EC071" w14:textId="705119C8" w:rsidR="007D100B" w:rsidRPr="00B05B01" w:rsidRDefault="00F327BB" w:rsidP="00591337">
      <w:pPr>
        <w:pStyle w:val="ListParagraph"/>
        <w:numPr>
          <w:ilvl w:val="1"/>
          <w:numId w:val="24"/>
        </w:numPr>
        <w:ind w:left="284" w:firstLine="11"/>
        <w:jc w:val="both"/>
        <w:rPr>
          <w:rFonts w:asciiTheme="majorHAnsi" w:hAnsiTheme="majorHAnsi" w:cstheme="majorHAnsi"/>
          <w:sz w:val="22"/>
          <w:szCs w:val="22"/>
        </w:rPr>
      </w:pPr>
      <w:r w:rsidRPr="00591337">
        <w:rPr>
          <w:rFonts w:asciiTheme="majorHAnsi" w:hAnsiTheme="majorHAnsi" w:cstheme="majorHAnsi"/>
          <w:sz w:val="22"/>
          <w:szCs w:val="22"/>
        </w:rPr>
        <w:t>P</w:t>
      </w:r>
      <w:r w:rsidR="00CD7DD3" w:rsidRPr="00591337">
        <w:rPr>
          <w:rFonts w:asciiTheme="majorHAnsi" w:hAnsiTheme="majorHAnsi" w:cstheme="majorHAnsi"/>
          <w:sz w:val="22"/>
          <w:szCs w:val="22"/>
        </w:rPr>
        <w:t xml:space="preserve">olitika taikoma Bendrovės </w:t>
      </w:r>
      <w:r w:rsidR="00EC7BC6" w:rsidRPr="00591337">
        <w:rPr>
          <w:rFonts w:asciiTheme="majorHAnsi" w:hAnsiTheme="majorHAnsi" w:cstheme="majorHAnsi"/>
          <w:sz w:val="22"/>
          <w:szCs w:val="22"/>
        </w:rPr>
        <w:t>valdybos</w:t>
      </w:r>
      <w:r w:rsidR="00EC7BC6" w:rsidRPr="00591337" w:rsidDel="00EC7BC6">
        <w:rPr>
          <w:rFonts w:asciiTheme="majorHAnsi" w:hAnsiTheme="majorHAnsi" w:cstheme="majorHAnsi"/>
          <w:sz w:val="22"/>
          <w:szCs w:val="22"/>
        </w:rPr>
        <w:t xml:space="preserve"> </w:t>
      </w:r>
      <w:r w:rsidR="00CD7DD3" w:rsidRPr="00591337">
        <w:rPr>
          <w:rFonts w:asciiTheme="majorHAnsi" w:hAnsiTheme="majorHAnsi" w:cstheme="majorHAnsi"/>
          <w:sz w:val="22"/>
          <w:szCs w:val="22"/>
        </w:rPr>
        <w:t xml:space="preserve">nariams, visiems Bendrovės darbuotojams, </w:t>
      </w:r>
      <w:r w:rsidR="00D174E4" w:rsidRPr="00591337">
        <w:rPr>
          <w:rFonts w:asciiTheme="majorHAnsi" w:hAnsiTheme="majorHAnsi" w:cstheme="majorHAnsi"/>
          <w:sz w:val="22"/>
          <w:szCs w:val="22"/>
        </w:rPr>
        <w:t xml:space="preserve">nepriklausomai nuo užimamų pareigų, praktiką atliekantiems asmenims ir asmenims, atstovaujantiems Bendrovės interesams ar veikiantiems jos vardu, </w:t>
      </w:r>
      <w:r w:rsidR="003E365F" w:rsidRPr="00591337">
        <w:rPr>
          <w:rFonts w:asciiTheme="majorHAnsi" w:hAnsiTheme="majorHAnsi" w:cstheme="majorHAnsi"/>
          <w:sz w:val="22"/>
          <w:szCs w:val="22"/>
        </w:rPr>
        <w:t xml:space="preserve">kontrahentams </w:t>
      </w:r>
      <w:r w:rsidR="00CD7DD3" w:rsidRPr="00591337">
        <w:rPr>
          <w:rFonts w:asciiTheme="majorHAnsi" w:hAnsiTheme="majorHAnsi" w:cstheme="majorHAnsi"/>
          <w:sz w:val="22"/>
          <w:szCs w:val="22"/>
        </w:rPr>
        <w:t>įskaitant pasitelktus konsultantus, tarpininkus ir kitus asmenis, veikiančius Bendrovės vardu, nepriklausomai nuo jų santykio su Bendrove formos bei atlygintinumo. Jos nuostatomis skatinam</w:t>
      </w:r>
      <w:r w:rsidR="002F5FA8" w:rsidRPr="00591337">
        <w:rPr>
          <w:rFonts w:asciiTheme="majorHAnsi" w:hAnsiTheme="majorHAnsi" w:cstheme="majorHAnsi"/>
          <w:sz w:val="22"/>
          <w:szCs w:val="22"/>
        </w:rPr>
        <w:t>os</w:t>
      </w:r>
      <w:r w:rsidR="00CD7DD3" w:rsidRPr="00591337">
        <w:rPr>
          <w:rFonts w:asciiTheme="majorHAnsi" w:hAnsiTheme="majorHAnsi" w:cstheme="majorHAnsi"/>
          <w:sz w:val="22"/>
          <w:szCs w:val="22"/>
        </w:rPr>
        <w:t xml:space="preserve"> vadovautis Bendrovės </w:t>
      </w:r>
      <w:r w:rsidR="000832C3" w:rsidRPr="00591337">
        <w:rPr>
          <w:rFonts w:asciiTheme="majorHAnsi" w:hAnsiTheme="majorHAnsi" w:cstheme="majorHAnsi"/>
          <w:sz w:val="22"/>
          <w:szCs w:val="22"/>
        </w:rPr>
        <w:t>visos</w:t>
      </w:r>
      <w:r w:rsidR="00CD7DD3" w:rsidRPr="00591337">
        <w:rPr>
          <w:rFonts w:asciiTheme="majorHAnsi" w:hAnsiTheme="majorHAnsi" w:cstheme="majorHAnsi"/>
          <w:sz w:val="22"/>
          <w:szCs w:val="22"/>
        </w:rPr>
        <w:t xml:space="preserve"> suinteresuotos šalys.</w:t>
      </w:r>
      <w:bookmarkStart w:id="8" w:name="_Hlk58402205"/>
      <w:bookmarkEnd w:id="7"/>
    </w:p>
    <w:p w14:paraId="1C5C2DA0" w14:textId="77777777" w:rsidR="00AA52D4" w:rsidRPr="00B05B01" w:rsidRDefault="00AA52D4" w:rsidP="00AA52D4">
      <w:pPr>
        <w:pStyle w:val="ListParagraph"/>
        <w:numPr>
          <w:ilvl w:val="1"/>
          <w:numId w:val="25"/>
        </w:numPr>
        <w:ind w:left="284" w:hanging="11"/>
        <w:jc w:val="both"/>
        <w:rPr>
          <w:rFonts w:asciiTheme="majorHAnsi" w:hAnsiTheme="majorHAnsi" w:cstheme="majorHAnsi"/>
          <w:sz w:val="22"/>
          <w:szCs w:val="22"/>
        </w:rPr>
      </w:pPr>
      <w:r w:rsidRPr="00B05B01">
        <w:rPr>
          <w:rFonts w:asciiTheme="majorHAnsi" w:hAnsiTheme="majorHAnsi" w:cstheme="majorHAnsi"/>
          <w:sz w:val="22"/>
          <w:szCs w:val="22"/>
        </w:rPr>
        <w:t xml:space="preserve">Politikos įgyvendinančius vidaus teisės aktus tvirtina Bendrovės generalinis direktorius. </w:t>
      </w:r>
    </w:p>
    <w:p w14:paraId="174F03FB" w14:textId="69F6CEDF" w:rsidR="00AA52D4" w:rsidRPr="00B05B01" w:rsidRDefault="00AA52D4" w:rsidP="00AA52D4">
      <w:pPr>
        <w:pStyle w:val="ListParagraph"/>
        <w:numPr>
          <w:ilvl w:val="1"/>
          <w:numId w:val="25"/>
        </w:numPr>
        <w:ind w:left="284" w:hanging="11"/>
        <w:jc w:val="both"/>
        <w:rPr>
          <w:rFonts w:asciiTheme="majorHAnsi" w:hAnsiTheme="majorHAnsi" w:cstheme="majorHAnsi"/>
          <w:sz w:val="22"/>
          <w:szCs w:val="22"/>
        </w:rPr>
      </w:pPr>
      <w:r w:rsidRPr="00B05B01">
        <w:rPr>
          <w:rFonts w:asciiTheme="majorHAnsi" w:hAnsiTheme="majorHAnsi" w:cstheme="majorHAnsi"/>
          <w:sz w:val="22"/>
          <w:szCs w:val="22"/>
        </w:rPr>
        <w:t>Politika parengta</w:t>
      </w:r>
      <w:r w:rsidR="002B23B3">
        <w:rPr>
          <w:rFonts w:asciiTheme="majorHAnsi" w:hAnsiTheme="majorHAnsi" w:cstheme="majorHAnsi"/>
          <w:sz w:val="22"/>
          <w:szCs w:val="22"/>
        </w:rPr>
        <w:t>,</w:t>
      </w:r>
      <w:r w:rsidRPr="00B05B01">
        <w:rPr>
          <w:rFonts w:asciiTheme="majorHAnsi" w:hAnsiTheme="majorHAnsi" w:cstheme="majorHAnsi"/>
          <w:sz w:val="22"/>
          <w:szCs w:val="22"/>
        </w:rPr>
        <w:t xml:space="preserve"> vadovaujantis Lietuvos Respublikos korupcijos prevencijos įstatymu, Lietuvos Respublikos viešųjų ir privačių interesų derinimo įstatymu, Lietuvos Respublikos pranešėjų apsaugos įstatymu,</w:t>
      </w:r>
      <w:r w:rsidRPr="00591337">
        <w:rPr>
          <w:rFonts w:asciiTheme="majorHAnsi" w:hAnsiTheme="majorHAnsi" w:cstheme="majorHAnsi"/>
          <w:sz w:val="22"/>
          <w:szCs w:val="22"/>
        </w:rPr>
        <w:t xml:space="preserve"> </w:t>
      </w:r>
      <w:r w:rsidRPr="00B05B01">
        <w:rPr>
          <w:rFonts w:asciiTheme="majorHAnsi" w:hAnsiTheme="majorHAnsi" w:cstheme="majorHAnsi"/>
          <w:sz w:val="22"/>
          <w:szCs w:val="22"/>
        </w:rPr>
        <w:t xml:space="preserve">Lietuvos Respublikos lobistinės veiklos įstatymu ir juos įgyvendinančiais teisės aktais, atsižvelgiant į </w:t>
      </w:r>
      <w:hyperlink r:id="rId18" w:history="1">
        <w:r w:rsidRPr="00B05B01">
          <w:rPr>
            <w:rStyle w:val="Hyperlink"/>
            <w:rFonts w:asciiTheme="majorHAnsi" w:hAnsiTheme="majorHAnsi" w:cstheme="majorHAnsi"/>
            <w:sz w:val="22"/>
            <w:szCs w:val="22"/>
          </w:rPr>
          <w:t>Antikorupcinės aplinkos kūrimo ir integralumo valstybės ir savivaldybių valdomose įmonėse vadove</w:t>
        </w:r>
      </w:hyperlink>
      <w:r w:rsidRPr="00B05B01">
        <w:rPr>
          <w:rFonts w:asciiTheme="majorHAnsi" w:hAnsiTheme="majorHAnsi" w:cstheme="majorHAnsi"/>
          <w:sz w:val="22"/>
          <w:szCs w:val="22"/>
        </w:rPr>
        <w:t xml:space="preserve"> nustatytas rekomendacijas.</w:t>
      </w:r>
    </w:p>
    <w:p w14:paraId="48D31F51" w14:textId="77777777" w:rsidR="00502404" w:rsidRPr="00B05B01" w:rsidRDefault="00502404" w:rsidP="00591337">
      <w:pPr>
        <w:pStyle w:val="ListParagraph"/>
        <w:ind w:left="284"/>
        <w:jc w:val="both"/>
        <w:rPr>
          <w:rFonts w:asciiTheme="majorHAnsi" w:hAnsiTheme="majorHAnsi" w:cstheme="majorHAnsi"/>
          <w:sz w:val="22"/>
          <w:szCs w:val="22"/>
        </w:rPr>
      </w:pPr>
    </w:p>
    <w:bookmarkEnd w:id="8"/>
    <w:p w14:paraId="168A78FB" w14:textId="77777777" w:rsidR="00BD49CA" w:rsidRPr="00B05B01" w:rsidRDefault="00BD49CA" w:rsidP="00BD49CA">
      <w:pPr>
        <w:pStyle w:val="Heading2"/>
        <w:numPr>
          <w:ilvl w:val="0"/>
          <w:numId w:val="25"/>
        </w:numPr>
        <w:ind w:left="284" w:hanging="284"/>
        <w:jc w:val="both"/>
        <w:rPr>
          <w:rFonts w:cstheme="majorHAnsi"/>
          <w:b/>
          <w:bCs/>
          <w:color w:val="auto"/>
          <w:sz w:val="22"/>
          <w:szCs w:val="22"/>
        </w:rPr>
      </w:pPr>
      <w:r w:rsidRPr="00B05B01">
        <w:rPr>
          <w:rFonts w:cstheme="majorHAnsi"/>
          <w:b/>
          <w:bCs/>
          <w:color w:val="auto"/>
          <w:sz w:val="22"/>
          <w:szCs w:val="22"/>
        </w:rPr>
        <w:t xml:space="preserve">KORUPCIJAI ATSPARIOS APLINKOS KŪRIMO PRINCIPAI </w:t>
      </w:r>
    </w:p>
    <w:p w14:paraId="4CE712AB" w14:textId="77777777" w:rsidR="003052FC" w:rsidRPr="00B05B01" w:rsidRDefault="00013097" w:rsidP="00591337">
      <w:pPr>
        <w:spacing w:after="0" w:line="240" w:lineRule="auto"/>
        <w:ind w:left="993" w:hanging="708"/>
        <w:jc w:val="both"/>
        <w:rPr>
          <w:rFonts w:asciiTheme="majorHAnsi" w:hAnsiTheme="majorHAnsi" w:cstheme="majorHAnsi"/>
          <w:b/>
          <w:bCs/>
          <w:noProof/>
          <w:lang w:val="lt-LT"/>
        </w:rPr>
      </w:pPr>
      <w:r w:rsidRPr="00591337">
        <w:rPr>
          <w:rFonts w:asciiTheme="majorHAnsi" w:hAnsiTheme="majorHAnsi" w:cstheme="majorHAnsi"/>
          <w:noProof/>
          <w:lang w:val="lt-LT"/>
        </w:rPr>
        <w:t>3</w:t>
      </w:r>
      <w:r w:rsidR="00CC095A" w:rsidRPr="00591337">
        <w:rPr>
          <w:rFonts w:asciiTheme="majorHAnsi" w:hAnsiTheme="majorHAnsi" w:cstheme="majorHAnsi"/>
          <w:noProof/>
          <w:lang w:val="lt-LT"/>
        </w:rPr>
        <w:t xml:space="preserve">.1. </w:t>
      </w:r>
      <w:r w:rsidR="003052FC" w:rsidRPr="00591337">
        <w:rPr>
          <w:rFonts w:asciiTheme="majorHAnsi" w:hAnsiTheme="majorHAnsi" w:cstheme="majorHAnsi"/>
          <w:noProof/>
          <w:lang w:val="lt-LT"/>
        </w:rPr>
        <w:t>Korupcijai atsparios aplinkos kūrimo principai:</w:t>
      </w:r>
    </w:p>
    <w:p w14:paraId="73FB717F" w14:textId="7CE1CD4B" w:rsidR="00EB41FA" w:rsidRPr="00B05B01" w:rsidRDefault="00EB41FA" w:rsidP="00EB41FA">
      <w:pPr>
        <w:spacing w:after="0" w:line="240" w:lineRule="auto"/>
        <w:ind w:left="284"/>
        <w:jc w:val="both"/>
        <w:rPr>
          <w:rFonts w:asciiTheme="majorHAnsi" w:hAnsiTheme="majorHAnsi" w:cstheme="majorHAnsi"/>
          <w:noProof/>
          <w:lang w:val="lt-LT"/>
        </w:rPr>
      </w:pPr>
      <w:r w:rsidRPr="00B05B01">
        <w:rPr>
          <w:rFonts w:asciiTheme="majorHAnsi" w:hAnsiTheme="majorHAnsi" w:cstheme="majorHAnsi"/>
          <w:noProof/>
          <w:lang w:val="lt-LT"/>
        </w:rPr>
        <w:t xml:space="preserve">3.1.1. </w:t>
      </w:r>
      <w:r w:rsidRPr="00B05B01">
        <w:rPr>
          <w:rFonts w:asciiTheme="majorHAnsi" w:hAnsiTheme="majorHAnsi" w:cstheme="majorHAnsi"/>
          <w:b/>
          <w:bCs/>
          <w:noProof/>
          <w:lang w:val="lt-LT"/>
        </w:rPr>
        <w:t>Nulinės tolerancijos korupcijai –</w:t>
      </w:r>
      <w:r w:rsidRPr="00B05B01">
        <w:rPr>
          <w:rFonts w:asciiTheme="majorHAnsi" w:hAnsiTheme="majorHAnsi" w:cstheme="majorHAnsi"/>
          <w:noProof/>
          <w:lang w:val="lt-LT"/>
        </w:rPr>
        <w:t xml:space="preserve"> Bendrovės veikloje</w:t>
      </w:r>
      <w:r w:rsidR="007E3A28" w:rsidRPr="00B05B01">
        <w:rPr>
          <w:rFonts w:asciiTheme="majorHAnsi" w:hAnsiTheme="majorHAnsi" w:cstheme="majorHAnsi"/>
          <w:noProof/>
          <w:lang w:val="lt-LT"/>
        </w:rPr>
        <w:t>,</w:t>
      </w:r>
      <w:r w:rsidRPr="00B05B01">
        <w:rPr>
          <w:rFonts w:asciiTheme="majorHAnsi" w:hAnsiTheme="majorHAnsi" w:cstheme="majorHAnsi"/>
          <w:noProof/>
          <w:lang w:val="lt-LT"/>
        </w:rPr>
        <w:t xml:space="preserve"> </w:t>
      </w:r>
      <w:r w:rsidR="007E3A28" w:rsidRPr="00B05B01">
        <w:rPr>
          <w:rFonts w:asciiTheme="majorHAnsi" w:hAnsiTheme="majorHAnsi" w:cstheme="majorHAnsi"/>
          <w:noProof/>
          <w:lang w:val="lt-LT"/>
        </w:rPr>
        <w:t xml:space="preserve">taip pat santykiuose su suinteresuotais asmenimis </w:t>
      </w:r>
      <w:r w:rsidRPr="00B05B01">
        <w:rPr>
          <w:rFonts w:asciiTheme="majorHAnsi" w:hAnsiTheme="majorHAnsi" w:cstheme="majorHAnsi"/>
          <w:noProof/>
          <w:lang w:val="lt-LT"/>
        </w:rPr>
        <w:t xml:space="preserve">netoleruojama joks korupcinio pobūdžio teisės pažeidimas ar kita Korupcijos forma. </w:t>
      </w:r>
    </w:p>
    <w:p w14:paraId="103DFBDE" w14:textId="77777777" w:rsidR="00EB41FA" w:rsidRPr="00B05B01" w:rsidRDefault="00EB41FA" w:rsidP="00EB41FA">
      <w:pPr>
        <w:spacing w:after="0" w:line="240" w:lineRule="auto"/>
        <w:ind w:left="284"/>
        <w:jc w:val="both"/>
        <w:rPr>
          <w:rFonts w:asciiTheme="majorHAnsi" w:hAnsiTheme="majorHAnsi" w:cstheme="majorHAnsi"/>
          <w:noProof/>
          <w:lang w:val="lt-LT"/>
        </w:rPr>
      </w:pPr>
      <w:r w:rsidRPr="00B05B01">
        <w:rPr>
          <w:rFonts w:asciiTheme="majorHAnsi" w:hAnsiTheme="majorHAnsi" w:cstheme="majorHAnsi"/>
          <w:noProof/>
          <w:lang w:val="lt-LT"/>
        </w:rPr>
        <w:t xml:space="preserve">3.1.2. </w:t>
      </w:r>
      <w:r w:rsidRPr="00B05B01">
        <w:rPr>
          <w:rFonts w:asciiTheme="majorHAnsi" w:hAnsiTheme="majorHAnsi" w:cstheme="majorHAnsi"/>
          <w:b/>
          <w:bCs/>
          <w:noProof/>
          <w:lang w:val="lt-LT"/>
        </w:rPr>
        <w:t>Lyderystės ir vadovų įsitraukimo</w:t>
      </w:r>
      <w:r w:rsidRPr="00B05B01">
        <w:rPr>
          <w:rFonts w:asciiTheme="majorHAnsi" w:hAnsiTheme="majorHAnsi" w:cstheme="majorHAnsi"/>
          <w:noProof/>
          <w:lang w:val="lt-LT"/>
        </w:rPr>
        <w:t xml:space="preserve"> – Bendrovės vadovybė ir vadovai, kuriems taikomi aukštesni nei darbuotojams veiklos ir atsakomybės standartai, savo elgesiu formuoja skaidraus elgesio standartus ir skatina jų laikytis pavaldžius darbuotojus ir užtikrina, kad jų atsakomybei priskirtose veiklos srityse veikla būtų vykdoma tinkamai įgyvendinant Politikos nuostatas, į antikorupcinės aplinkos gerinimą įsitraukia patys</w:t>
      </w:r>
      <w:r w:rsidRPr="00B05B01">
        <w:rPr>
          <w:rFonts w:asciiTheme="majorHAnsi" w:hAnsiTheme="majorHAnsi" w:cstheme="majorHAnsi"/>
        </w:rPr>
        <w:t xml:space="preserve"> </w:t>
      </w:r>
      <w:r w:rsidRPr="00B05B01">
        <w:rPr>
          <w:rFonts w:asciiTheme="majorHAnsi" w:hAnsiTheme="majorHAnsi" w:cstheme="majorHAnsi"/>
          <w:noProof/>
          <w:lang w:val="lt-LT"/>
        </w:rPr>
        <w:cr/>
      </w:r>
      <w:bookmarkStart w:id="9" w:name="_Hlk205483933"/>
      <w:r w:rsidRPr="00B05B01">
        <w:rPr>
          <w:rFonts w:asciiTheme="majorHAnsi" w:hAnsiTheme="majorHAnsi" w:cstheme="majorHAnsi"/>
          <w:noProof/>
          <w:lang w:val="lt-LT"/>
        </w:rPr>
        <w:t xml:space="preserve"> </w:t>
      </w:r>
      <w:bookmarkEnd w:id="9"/>
      <w:r w:rsidRPr="00B05B01">
        <w:rPr>
          <w:rFonts w:asciiTheme="majorHAnsi" w:hAnsiTheme="majorHAnsi" w:cstheme="majorHAnsi"/>
          <w:noProof/>
          <w:lang w:val="lt-LT"/>
        </w:rPr>
        <w:t>ir įtraukia pavaldžius Darbuotojus.</w:t>
      </w:r>
    </w:p>
    <w:p w14:paraId="34F42853" w14:textId="0900A0F3"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3.1.3. </w:t>
      </w:r>
      <w:r w:rsidRPr="00B05B01">
        <w:rPr>
          <w:rFonts w:asciiTheme="majorHAnsi" w:hAnsiTheme="majorHAnsi" w:cstheme="majorHAnsi"/>
          <w:b/>
          <w:bCs/>
          <w:lang w:val="lt-LT"/>
        </w:rPr>
        <w:t>Etiško elgesio</w:t>
      </w:r>
      <w:r w:rsidRPr="00B05B01">
        <w:rPr>
          <w:rFonts w:asciiTheme="majorHAnsi" w:hAnsiTheme="majorHAnsi" w:cstheme="majorHAnsi"/>
          <w:lang w:val="lt-LT"/>
        </w:rPr>
        <w:t xml:space="preserve"> – Bendrovė siekia Suinteresuotų asmenų pasitikėjimo, skaidraus darbuotojų privačių interesų deklaravimo ir geros reputacijos, todėl netoleruojamos bet kokios veikos ir korupcijos formos, galinčios daryti neigiamą įtaką ar žalą Bendrovės reputacijai. Bendrovė netoleruoja darbuotojų neetiško elgesio. Suinteresuoti asmenys taip pat turi laikytis etiško elgesio ir atsakingos veiklos princip</w:t>
      </w:r>
      <w:r w:rsidR="009044AB" w:rsidRPr="00B05B01">
        <w:rPr>
          <w:rFonts w:asciiTheme="majorHAnsi" w:hAnsiTheme="majorHAnsi" w:cstheme="majorHAnsi"/>
          <w:lang w:val="lt-LT"/>
        </w:rPr>
        <w:t>ų</w:t>
      </w:r>
      <w:r w:rsidRPr="00B05B01">
        <w:rPr>
          <w:rFonts w:asciiTheme="majorHAnsi" w:hAnsiTheme="majorHAnsi" w:cstheme="majorHAnsi"/>
          <w:lang w:val="lt-LT"/>
        </w:rPr>
        <w:t>, vadovautis Bendrovės teisės aktuose nustatytomis antikorupcinio elgesio nuostatomis.</w:t>
      </w:r>
    </w:p>
    <w:p w14:paraId="15BBC63B" w14:textId="77777777"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3.1.4. </w:t>
      </w:r>
      <w:r w:rsidRPr="00B05B01">
        <w:rPr>
          <w:rFonts w:asciiTheme="majorHAnsi" w:hAnsiTheme="majorHAnsi" w:cstheme="majorHAnsi"/>
          <w:b/>
          <w:bCs/>
          <w:lang w:val="lt-LT"/>
        </w:rPr>
        <w:t>Interesų konfliktų vengimo</w:t>
      </w:r>
      <w:r w:rsidRPr="00B05B01">
        <w:rPr>
          <w:rFonts w:asciiTheme="majorHAnsi" w:hAnsiTheme="majorHAnsi" w:cstheme="majorHAnsi"/>
          <w:lang w:val="lt-LT"/>
        </w:rPr>
        <w:t xml:space="preserve"> - Bendrovės Vadovybė ir darbuotojai savo pareigas privalo vykdyti nešališkai, sąžiningai ir tinkamai, vengti Interesų konflikto, nesinaudodami ir neleisdami naudotis kitiems einamomis pareigomis asmeninei ar artimųjų naudai gauti bei neatlikdami kitu požiūriu Bendrovės ar viešiesiems interesams žalingos veiklos.</w:t>
      </w:r>
      <w:r w:rsidRPr="00B05B01">
        <w:rPr>
          <w:rFonts w:asciiTheme="majorHAnsi" w:hAnsiTheme="majorHAnsi" w:cstheme="majorHAnsi"/>
        </w:rPr>
        <w:t xml:space="preserve"> Taip pat Bendrovės Vadovybė ir darbuotojai turi </w:t>
      </w:r>
      <w:r w:rsidRPr="00B05B01">
        <w:rPr>
          <w:rFonts w:asciiTheme="majorHAnsi" w:hAnsiTheme="majorHAnsi" w:cstheme="majorHAnsi"/>
          <w:lang w:val="lt-LT"/>
        </w:rPr>
        <w:t xml:space="preserve">elgtis taip, kad nekiltų abejonių, </w:t>
      </w:r>
      <w:r w:rsidRPr="00B05B01">
        <w:rPr>
          <w:rFonts w:asciiTheme="majorHAnsi" w:hAnsiTheme="majorHAnsi" w:cstheme="majorHAnsi"/>
          <w:lang w:val="lt-LT"/>
        </w:rPr>
        <w:lastRenderedPageBreak/>
        <w:t>jog toks konfliktas yra, nedelsiant imtis aktyvių veiksmų, siekiant, kad būtų neleista realizuotis ne tik savo, bet ir jo kolegos ar suinteresuotos šalies Interesų konfliktams.</w:t>
      </w:r>
    </w:p>
    <w:p w14:paraId="5FB0833F" w14:textId="77777777"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3.1.5. </w:t>
      </w:r>
      <w:r w:rsidRPr="00B05B01">
        <w:rPr>
          <w:rFonts w:asciiTheme="majorHAnsi" w:hAnsiTheme="majorHAnsi" w:cstheme="majorHAnsi"/>
          <w:b/>
          <w:bCs/>
          <w:lang w:val="lt-LT"/>
        </w:rPr>
        <w:t xml:space="preserve">Skaidrumo </w:t>
      </w:r>
      <w:r w:rsidRPr="00B05B01">
        <w:rPr>
          <w:rFonts w:asciiTheme="majorHAnsi" w:hAnsiTheme="majorHAnsi" w:cstheme="majorHAnsi"/>
          <w:lang w:val="lt-LT"/>
        </w:rPr>
        <w:t>– Bendrovėje vykdoma korupcijos prevencijos veikla turi būti vieša ir suprantama, atvira visuomenei. Bendrovė užtikrina teisės aktų nustatyta tvarka informacijos apie veiklą,</w:t>
      </w:r>
      <w:r w:rsidRPr="00B05B01">
        <w:rPr>
          <w:rFonts w:asciiTheme="majorHAnsi" w:hAnsiTheme="majorHAnsi" w:cstheme="majorHAnsi"/>
        </w:rPr>
        <w:t xml:space="preserve"> </w:t>
      </w:r>
      <w:r w:rsidRPr="00B05B01">
        <w:rPr>
          <w:rFonts w:asciiTheme="majorHAnsi" w:hAnsiTheme="majorHAnsi" w:cstheme="majorHAnsi"/>
          <w:lang w:val="lt-LT"/>
        </w:rPr>
        <w:t>vykdomas korupcijai atsparios aplinkos kūrimo priemones atskleidimą ir pagrindinių Bendrovės dokumentų viešinimą, saugodama konfidencialią ir komercinę (gamybos) paslaptį sudarančią informaciją, klientų bei kitų asmenų asmens duomenis ir jų neatskleisdama jokiems asmenims, neturintiems teisės jų gauti.</w:t>
      </w:r>
    </w:p>
    <w:p w14:paraId="11A80279" w14:textId="77777777"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3.1.6. </w:t>
      </w:r>
      <w:r w:rsidRPr="00B05B01">
        <w:rPr>
          <w:rFonts w:asciiTheme="majorHAnsi" w:hAnsiTheme="majorHAnsi" w:cstheme="majorHAnsi"/>
          <w:b/>
          <w:bCs/>
          <w:lang w:val="lt-LT"/>
        </w:rPr>
        <w:t>Nuolatinumo</w:t>
      </w:r>
      <w:r w:rsidRPr="00B05B01">
        <w:rPr>
          <w:rFonts w:asciiTheme="majorHAnsi" w:hAnsiTheme="majorHAnsi" w:cstheme="majorHAnsi"/>
          <w:lang w:val="lt-LT"/>
        </w:rPr>
        <w:t xml:space="preserve"> – Bendrovėje nuolat atliekama vykdomų korupcijai atsparios aplinkos kūrimo priemonių ir jų rezultatų stebėsena ir teikiami pasiūlymai dėl atitinkamų priemonių veiksmingumo didinimo.</w:t>
      </w:r>
    </w:p>
    <w:p w14:paraId="757395B9" w14:textId="77777777"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3.1.7.  </w:t>
      </w:r>
      <w:r w:rsidRPr="00B05B01">
        <w:rPr>
          <w:rFonts w:asciiTheme="majorHAnsi" w:hAnsiTheme="majorHAnsi" w:cstheme="majorHAnsi"/>
          <w:b/>
          <w:bCs/>
          <w:lang w:val="lt-LT"/>
        </w:rPr>
        <w:t>Įtraukimo</w:t>
      </w:r>
      <w:r w:rsidRPr="00B05B01">
        <w:rPr>
          <w:rFonts w:asciiTheme="majorHAnsi" w:hAnsiTheme="majorHAnsi" w:cstheme="majorHAnsi"/>
          <w:lang w:val="lt-LT"/>
        </w:rPr>
        <w:t xml:space="preserve"> – Bendrovė imasi priemonių, skirtų jos darbuotojų antikorupciniam sąmoningumui didinti, teikti jiems informaciją apie antikorupcinės aplinkos kūrimą ir skatinti prisidėti prie antikorupcinės aplinkos kūrimo Bendrovėje.</w:t>
      </w:r>
    </w:p>
    <w:p w14:paraId="6E43DC21" w14:textId="77777777" w:rsidR="00EB41FA" w:rsidRPr="00B05B01" w:rsidRDefault="00EB41FA" w:rsidP="00EB41FA">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3.1.8.</w:t>
      </w:r>
      <w:r w:rsidRPr="00B05B01">
        <w:rPr>
          <w:rFonts w:asciiTheme="majorHAnsi" w:hAnsiTheme="majorHAnsi" w:cstheme="majorHAnsi"/>
          <w:b/>
          <w:bCs/>
          <w:lang w:val="lt-LT"/>
        </w:rPr>
        <w:t xml:space="preserve"> Proporcingos korupcijos prevencijos veiklos</w:t>
      </w:r>
      <w:r w:rsidRPr="00B05B01">
        <w:rPr>
          <w:rFonts w:asciiTheme="majorHAnsi" w:hAnsiTheme="majorHAnsi" w:cstheme="majorHAnsi"/>
          <w:lang w:val="lt-LT"/>
        </w:rPr>
        <w:t xml:space="preserve"> – korupcijai atsparios aplinkos kūrimo priemonių diegimas vykdomas atsižvelgiant į nustatytų korupcijos rizikų lygį ir siekiant kuo mažesnės administracinės naštos.</w:t>
      </w:r>
    </w:p>
    <w:p w14:paraId="000E5377" w14:textId="77777777" w:rsidR="00923CAA" w:rsidRPr="00B05B01" w:rsidRDefault="00923CAA" w:rsidP="00EB41FA">
      <w:pPr>
        <w:spacing w:after="0" w:line="240" w:lineRule="auto"/>
        <w:ind w:left="284"/>
        <w:jc w:val="both"/>
        <w:rPr>
          <w:rFonts w:asciiTheme="majorHAnsi" w:hAnsiTheme="majorHAnsi" w:cstheme="majorHAnsi"/>
          <w:lang w:val="lt-LT"/>
        </w:rPr>
      </w:pPr>
    </w:p>
    <w:p w14:paraId="24B78003"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 </w:t>
      </w:r>
      <w:r w:rsidRPr="00B05B01">
        <w:rPr>
          <w:rFonts w:asciiTheme="majorHAnsi" w:hAnsiTheme="majorHAnsi" w:cstheme="majorHAnsi"/>
          <w:b/>
          <w:bCs/>
          <w:lang w:val="lt-LT"/>
        </w:rPr>
        <w:t xml:space="preserve">ĮSIPAREIGOJIMAI KURIANT KORUPCIJAI ATSPARIĄ APLINKĄ BENDROVĖJE </w:t>
      </w:r>
    </w:p>
    <w:p w14:paraId="2EB6C1EA"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 Bendrovė, siekdama šalinti korupcijos rizikos veiksnius, mažinti korupcijos riziką bei didinti atsparumą korupcijai Bendrovėje, įsipareigoja įgyvendinti šias korupcijai atsparios aplinkos kūrimo priemones:</w:t>
      </w:r>
    </w:p>
    <w:p w14:paraId="343A0B25"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4.1.1. </w:t>
      </w:r>
      <w:r w:rsidRPr="00B05B01">
        <w:rPr>
          <w:rFonts w:asciiTheme="majorHAnsi" w:hAnsiTheme="majorHAnsi" w:cstheme="majorHAnsi"/>
          <w:b/>
          <w:bCs/>
          <w:lang w:val="lt-LT"/>
        </w:rPr>
        <w:t>antikorupcinių elgesio standartų</w:t>
      </w:r>
      <w:r w:rsidRPr="00B05B01">
        <w:rPr>
          <w:rFonts w:asciiTheme="majorHAnsi" w:hAnsiTheme="majorHAnsi" w:cstheme="majorHAnsi"/>
          <w:lang w:val="lt-LT"/>
        </w:rPr>
        <w:t xml:space="preserve"> </w:t>
      </w:r>
      <w:r w:rsidRPr="00B05B01">
        <w:rPr>
          <w:rFonts w:asciiTheme="majorHAnsi" w:hAnsiTheme="majorHAnsi" w:cstheme="majorHAnsi"/>
          <w:b/>
          <w:bCs/>
          <w:lang w:val="lt-LT"/>
        </w:rPr>
        <w:t xml:space="preserve">diegimas – </w:t>
      </w:r>
      <w:r w:rsidRPr="00B05B01">
        <w:rPr>
          <w:rFonts w:asciiTheme="majorHAnsi" w:hAnsiTheme="majorHAnsi" w:cstheme="majorHAnsi"/>
          <w:lang w:val="lt-LT"/>
        </w:rPr>
        <w:t>Bendrovės etikos kodekse</w:t>
      </w:r>
      <w:r w:rsidRPr="00B05B01">
        <w:rPr>
          <w:rFonts w:asciiTheme="majorHAnsi" w:hAnsiTheme="majorHAnsi" w:cstheme="majorHAnsi"/>
          <w:b/>
          <w:bCs/>
          <w:lang w:val="lt-LT"/>
        </w:rPr>
        <w:t xml:space="preserve"> </w:t>
      </w:r>
      <w:r w:rsidRPr="00B05B01">
        <w:rPr>
          <w:rFonts w:asciiTheme="majorHAnsi" w:hAnsiTheme="majorHAnsi" w:cstheme="majorHAnsi"/>
          <w:lang w:val="lt-LT"/>
        </w:rPr>
        <w:t>išsamiai nustatomi pagrindiniai darbuotojų skaidrios veiklos ir antikorupcinio elgesio standartai, kuriais siekiama užtikrinti sąžiningumą, atsakingumą, korupcijos netoleravimą.</w:t>
      </w:r>
    </w:p>
    <w:p w14:paraId="31CA5BD1" w14:textId="77777777" w:rsidR="00523F9B" w:rsidRPr="00B05B01" w:rsidRDefault="00523F9B" w:rsidP="00523F9B">
      <w:pPr>
        <w:spacing w:after="0" w:line="240" w:lineRule="auto"/>
        <w:ind w:left="284"/>
        <w:jc w:val="both"/>
        <w:rPr>
          <w:rFonts w:asciiTheme="majorHAnsi" w:hAnsiTheme="majorHAnsi" w:cstheme="majorHAnsi"/>
          <w:noProof/>
          <w:lang w:val="lt-LT"/>
        </w:rPr>
      </w:pPr>
      <w:r w:rsidRPr="00B05B01">
        <w:rPr>
          <w:rFonts w:asciiTheme="majorHAnsi" w:hAnsiTheme="majorHAnsi" w:cstheme="majorHAnsi"/>
          <w:lang w:val="lt-LT"/>
        </w:rPr>
        <w:t xml:space="preserve">4.1.2. </w:t>
      </w:r>
      <w:r w:rsidRPr="00B05B01">
        <w:rPr>
          <w:rFonts w:asciiTheme="majorHAnsi" w:hAnsiTheme="majorHAnsi" w:cstheme="majorHAnsi"/>
          <w:b/>
          <w:bCs/>
          <w:lang w:val="lt-LT"/>
        </w:rPr>
        <w:t>korupcijos rizikų ir jų veiksnių nustatymas</w:t>
      </w:r>
      <w:r w:rsidRPr="00B05B01">
        <w:rPr>
          <w:rStyle w:val="cf11"/>
          <w:rFonts w:asciiTheme="majorHAnsi" w:hAnsiTheme="majorHAnsi" w:cstheme="majorHAnsi"/>
          <w:b/>
          <w:bCs/>
          <w:noProof/>
          <w:sz w:val="22"/>
          <w:szCs w:val="22"/>
          <w:lang w:val="lt-LT"/>
        </w:rPr>
        <w:t xml:space="preserve"> – </w:t>
      </w:r>
      <w:r w:rsidRPr="00B05B01">
        <w:rPr>
          <w:rFonts w:asciiTheme="majorHAnsi" w:hAnsiTheme="majorHAnsi" w:cstheme="majorHAnsi"/>
          <w:noProof/>
          <w:lang w:val="lt-LT"/>
        </w:rPr>
        <w:t xml:space="preserve">Bendrovėje antikorupciniu požiūriu analizuojami veiklos procesai, siekiant nustatyti ir įvertinti korupcijos rizikas, galinčias sudaryti prielaidas darbuotojams ar kitiems asmenims padaryti korupcinio pobūdžio nusikalstamas veikas ir teisės pažeidimus, įgyvendinamos priemonės nustatytoms korupcijos rizikoms mažinti ir (ar) jų veiksniams šalinti, užtikrinant, kad Bendrovės taikomos priemonės būtų orientuotos į aukščiausio rizikingumo lygio rizikų valdymą. </w:t>
      </w:r>
    </w:p>
    <w:p w14:paraId="3B311E71"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noProof/>
          <w:lang w:val="lt-LT"/>
        </w:rPr>
        <w:t xml:space="preserve">4.1.3. </w:t>
      </w:r>
      <w:r w:rsidRPr="00B05B01">
        <w:rPr>
          <w:rFonts w:asciiTheme="majorHAnsi" w:hAnsiTheme="majorHAnsi" w:cstheme="majorHAnsi"/>
          <w:b/>
          <w:bCs/>
          <w:lang w:val="lt-LT"/>
        </w:rPr>
        <w:t>interesų konfliktų valdymas:</w:t>
      </w:r>
    </w:p>
    <w:p w14:paraId="6669B3C2" w14:textId="395976F2"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4.1.3.1. Bendrovės Vadovybė ir Darbuotojai, išskyrus darbininkų kategorijai priskirtus darbuotojus, privalo vengti bet kokio interesų konflikto, kuris galėtų turėti neigiamos įtakos nešališkam ir objektyviam jų pareigų ir funkcijų vykdymui; nusišalinti nuo sprendimų, galinčių sukelti ar keliančių Interesų konfliktą, priėmimo ir jokia forma (pvz.: raštu, žodžiu, konsultuojant, </w:t>
      </w:r>
      <w:r w:rsidR="00E039EB" w:rsidRPr="00B05B01">
        <w:rPr>
          <w:rFonts w:asciiTheme="majorHAnsi" w:hAnsiTheme="majorHAnsi" w:cstheme="majorHAnsi"/>
          <w:lang w:val="lt-LT"/>
        </w:rPr>
        <w:t>p</w:t>
      </w:r>
      <w:r w:rsidRPr="00B05B01">
        <w:rPr>
          <w:rFonts w:asciiTheme="majorHAnsi" w:hAnsiTheme="majorHAnsi" w:cstheme="majorHAnsi"/>
          <w:lang w:val="lt-LT"/>
        </w:rPr>
        <w:t>atariant ir pan.) nedalyvauti toliau juos rengiant, svarstant ar priimant, taip pat nedelsiant pranešti apie iškilusį Interesų konfliktą ar situacijas, kuriose galėtų realizuotis jau egzistuojantys Interesų konfliktai, bei teikti privalomas išankstines rekomendacijas vidaus teisės aktų nustatyta tvarka;</w:t>
      </w:r>
      <w:r w:rsidRPr="00B05B01" w:rsidDel="005B549A">
        <w:rPr>
          <w:rFonts w:asciiTheme="majorHAnsi" w:hAnsiTheme="majorHAnsi" w:cstheme="majorHAnsi"/>
          <w:lang w:val="lt-LT"/>
        </w:rPr>
        <w:t xml:space="preserve"> </w:t>
      </w:r>
    </w:p>
    <w:p w14:paraId="00220A19" w14:textId="7C3C8AFF"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4.1.3.2. Bendrovėje veikia integralus Privačių interesų deklaravimo modelis, pagal kurį Bendrovės valdybos nariai, vadovai ir darbuotojai, kurių pareigybės yra įtrauktos į Bendrovės generalinio direktoriaus įsakymu patvirtintą pareigų, kurias einantys asmenys privalo deklaruoti privačius interesus, sąrašą, deklaruoja Viešųjų ir privačių interesų derinimo įstatymo ir Politiką įgyvendinančio vidaus teisės akto nustatyta tvarka. Kiti darbuotojai, išskyrus darbininkų kategorijai priskirtus darbuotojus, privačius interesus deklaruoja Politiką įgyvendinančio vidaus teisės akto nustatyta tvarka, siekiant</w:t>
      </w:r>
      <w:r w:rsidRPr="00B05B01">
        <w:rPr>
          <w:rFonts w:asciiTheme="majorHAnsi" w:hAnsiTheme="majorHAnsi" w:cstheme="majorHAnsi"/>
        </w:rPr>
        <w:t xml:space="preserve"> </w:t>
      </w:r>
      <w:r w:rsidRPr="00B05B01">
        <w:rPr>
          <w:rFonts w:asciiTheme="majorHAnsi" w:hAnsiTheme="majorHAnsi" w:cstheme="majorHAnsi"/>
          <w:lang w:val="lt-LT"/>
        </w:rPr>
        <w:t>sudaryti galimybę Darbuotojams atskleisti išsamią informaciją apie aplinkybes, galinčias turėti įtakos interesų konfliktams atsirasti. Bendrovėje vykdoma privačių interesų deklaravimo stebėsena ir kontrolė. Darbo priemonės, finansiniai, materialiniai ištekliai, vidinė ir konfidenciali informacija naudojama tik tiesioginėms einamoms pareigoms atlikti, išskyrus atvejus, kai kitoks naudojimas yra aiškiai raštiškai reglamentuotas.</w:t>
      </w:r>
      <w:r w:rsidRPr="00B05B01">
        <w:rPr>
          <w:rFonts w:asciiTheme="majorHAnsi" w:hAnsiTheme="majorHAnsi" w:cstheme="majorHAnsi"/>
        </w:rPr>
        <w:t xml:space="preserve"> </w:t>
      </w:r>
      <w:r w:rsidRPr="00B05B01">
        <w:rPr>
          <w:rFonts w:asciiTheme="majorHAnsi" w:hAnsiTheme="majorHAnsi" w:cstheme="majorHAnsi"/>
          <w:lang w:val="lt-LT"/>
        </w:rPr>
        <w:t>Pareig</w:t>
      </w:r>
      <w:r w:rsidR="00E46635" w:rsidRPr="00B05B01">
        <w:rPr>
          <w:rFonts w:asciiTheme="majorHAnsi" w:hAnsiTheme="majorHAnsi" w:cstheme="majorHAnsi"/>
          <w:lang w:val="lt-LT"/>
        </w:rPr>
        <w:t>ybi</w:t>
      </w:r>
      <w:r w:rsidRPr="00B05B01">
        <w:rPr>
          <w:rFonts w:asciiTheme="majorHAnsi" w:hAnsiTheme="majorHAnsi" w:cstheme="majorHAnsi"/>
          <w:lang w:val="lt-LT"/>
        </w:rPr>
        <w:t>ų, kurias einantys asmenys privalo deklaruoti privačius interesus, sąrašas skelbiamas Bendrovės interneto svetainėje.</w:t>
      </w:r>
    </w:p>
    <w:p w14:paraId="34EA14C9" w14:textId="13C13C0E" w:rsidR="00523F9B" w:rsidRPr="00B05B01" w:rsidRDefault="00523F9B" w:rsidP="00003BEF">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lastRenderedPageBreak/>
        <w:t xml:space="preserve">4.1.3.3. Duomenys apie Bendrovės valdybos narių ir (ar) generalinio direktoriaus nusišalinimą ar nušalinimą skelbiami viešai Bendrovės interneto svetainėje </w:t>
      </w:r>
      <w:hyperlink r:id="rId19" w:history="1">
        <w:r w:rsidRPr="00B05B01">
          <w:rPr>
            <w:rStyle w:val="Hyperlink"/>
            <w:rFonts w:asciiTheme="majorHAnsi" w:hAnsiTheme="majorHAnsi" w:cstheme="majorHAnsi"/>
            <w:lang w:val="lt-LT"/>
          </w:rPr>
          <w:t>https://www.vv.lt</w:t>
        </w:r>
      </w:hyperlink>
      <w:r w:rsidRPr="00B05B01">
        <w:rPr>
          <w:rFonts w:asciiTheme="majorHAnsi" w:hAnsiTheme="majorHAnsi" w:cstheme="majorHAnsi"/>
          <w:lang w:val="lt-LT"/>
        </w:rPr>
        <w:t xml:space="preserve"> ir pateikiami VTEK jos nustatyta tvarka</w:t>
      </w:r>
      <w:r w:rsidR="00C76D76">
        <w:rPr>
          <w:rFonts w:asciiTheme="majorHAnsi" w:hAnsiTheme="majorHAnsi" w:cstheme="majorHAnsi"/>
          <w:lang w:val="lt-LT"/>
        </w:rPr>
        <w:t xml:space="preserve">, taip pat </w:t>
      </w:r>
      <w:r w:rsidR="00A20D2B">
        <w:rPr>
          <w:rFonts w:asciiTheme="majorHAnsi" w:hAnsiTheme="majorHAnsi" w:cstheme="majorHAnsi"/>
          <w:lang w:val="lt-LT"/>
        </w:rPr>
        <w:t xml:space="preserve">skelbiant Bendrovės </w:t>
      </w:r>
      <w:r w:rsidR="00ED4BD8" w:rsidRPr="00003BEF">
        <w:rPr>
          <w:rFonts w:asciiTheme="majorHAnsi" w:hAnsiTheme="majorHAnsi" w:cstheme="majorHAnsi"/>
          <w:lang w:val="lt-LT"/>
        </w:rPr>
        <w:t>vadovybės, tvarumo ir finansin</w:t>
      </w:r>
      <w:r w:rsidR="002C295D">
        <w:rPr>
          <w:rFonts w:asciiTheme="majorHAnsi" w:hAnsiTheme="majorHAnsi" w:cstheme="majorHAnsi"/>
          <w:lang w:val="lt-LT"/>
        </w:rPr>
        <w:t>e</w:t>
      </w:r>
      <w:r w:rsidR="00ED4BD8" w:rsidRPr="00003BEF">
        <w:rPr>
          <w:rFonts w:asciiTheme="majorHAnsi" w:hAnsiTheme="majorHAnsi" w:cstheme="majorHAnsi"/>
          <w:lang w:val="lt-LT"/>
        </w:rPr>
        <w:t xml:space="preserve">s </w:t>
      </w:r>
      <w:r w:rsidR="00A20D2B">
        <w:rPr>
          <w:rFonts w:asciiTheme="majorHAnsi" w:hAnsiTheme="majorHAnsi" w:cstheme="majorHAnsi"/>
          <w:lang w:val="lt-LT"/>
        </w:rPr>
        <w:t>ataskait</w:t>
      </w:r>
      <w:r w:rsidR="002C295D">
        <w:rPr>
          <w:rFonts w:asciiTheme="majorHAnsi" w:hAnsiTheme="majorHAnsi" w:cstheme="majorHAnsi"/>
          <w:lang w:val="lt-LT"/>
        </w:rPr>
        <w:t>as</w:t>
      </w:r>
      <w:r w:rsidRPr="00B05B01">
        <w:rPr>
          <w:rFonts w:asciiTheme="majorHAnsi" w:hAnsiTheme="majorHAnsi" w:cstheme="majorHAnsi"/>
          <w:lang w:val="lt-LT"/>
        </w:rPr>
        <w:t>.</w:t>
      </w:r>
    </w:p>
    <w:p w14:paraId="132C233D"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4.1.3.4. Darbuotojai, kurie privačius interesus deklaruoja dėl pareigų, nurodytų Viešųjų ir privačių interesų derinimo įstatymo 2 straipsnio 5 dalies 10 punkte, baigę eiti pareigas Bendrovėje privalo laikytis šiame įstatyme numatytų apribojimų.</w:t>
      </w:r>
    </w:p>
    <w:p w14:paraId="1F509036"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4.1.3.5. Kontrahentams taikoma interesų konfliktų valdymą reglamentuojanti vidaus teisės akto nustatyta tvarka.</w:t>
      </w:r>
    </w:p>
    <w:p w14:paraId="70B9322B" w14:textId="29623998" w:rsidR="00523F9B" w:rsidRPr="00D91191" w:rsidRDefault="00523F9B" w:rsidP="00523F9B">
      <w:pPr>
        <w:spacing w:after="0" w:line="240" w:lineRule="auto"/>
        <w:ind w:left="284"/>
        <w:jc w:val="both"/>
        <w:rPr>
          <w:rFonts w:asciiTheme="majorHAnsi" w:hAnsiTheme="majorHAnsi" w:cstheme="majorHAnsi"/>
        </w:rPr>
      </w:pPr>
      <w:r w:rsidRPr="00B05B01">
        <w:rPr>
          <w:rFonts w:asciiTheme="majorHAnsi" w:hAnsiTheme="majorHAnsi" w:cstheme="majorHAnsi"/>
          <w:lang w:val="lt-LT"/>
        </w:rPr>
        <w:t>4.1.4.</w:t>
      </w:r>
      <w:r w:rsidRPr="00B05B01">
        <w:rPr>
          <w:rFonts w:asciiTheme="majorHAnsi" w:hAnsiTheme="majorHAnsi" w:cstheme="majorHAnsi"/>
          <w:b/>
          <w:bCs/>
          <w:lang w:val="lt-LT"/>
        </w:rPr>
        <w:t xml:space="preserve"> dovanos skaidrumo kultūra – </w:t>
      </w:r>
      <w:r w:rsidRPr="00B05B01">
        <w:rPr>
          <w:rFonts w:asciiTheme="majorHAnsi" w:hAnsiTheme="majorHAnsi" w:cstheme="majorHAnsi"/>
          <w:lang w:val="lt-LT"/>
        </w:rPr>
        <w:t>Vadovybė ir</w:t>
      </w:r>
      <w:r w:rsidRPr="00B05B01">
        <w:rPr>
          <w:rFonts w:asciiTheme="majorHAnsi" w:hAnsiTheme="majorHAnsi" w:cstheme="majorHAnsi"/>
          <w:b/>
          <w:bCs/>
          <w:lang w:val="lt-LT"/>
        </w:rPr>
        <w:t xml:space="preserve"> </w:t>
      </w:r>
      <w:r w:rsidRPr="00B05B01">
        <w:rPr>
          <w:rFonts w:asciiTheme="majorHAnsi" w:hAnsiTheme="majorHAnsi" w:cstheme="majorHAnsi"/>
          <w:lang w:val="lt-LT"/>
        </w:rPr>
        <w:t>Darbuotojai neteikia ir nepriima jokių dovanų ar paslaugų, susijusių su darbuotojo pareigomis, išskyrus Viešųjų ir privačių interesų derinimo įstatymo ir vidaus teisės aktuose numatytas dovanas, gautas pagal tradicijas ir (ar) pagal tarptautinį protokolą, reprezentacijai skirtas dovanas su valstybės, įstaigos ir kitokia simbolika ar paslaugas, kuriomis naudojamasi tarnybiniais tikslais. Visos gautos dovanos</w:t>
      </w:r>
      <w:r w:rsidR="00C53F9C">
        <w:rPr>
          <w:rFonts w:asciiTheme="majorHAnsi" w:hAnsiTheme="majorHAnsi" w:cstheme="majorHAnsi"/>
          <w:lang w:val="lt-LT"/>
        </w:rPr>
        <w:t>,</w:t>
      </w:r>
      <w:r w:rsidRPr="00B05B01">
        <w:rPr>
          <w:rFonts w:asciiTheme="majorHAnsi" w:hAnsiTheme="majorHAnsi" w:cstheme="majorHAnsi"/>
          <w:lang w:val="lt-LT"/>
        </w:rPr>
        <w:t xml:space="preserve"> nepriklausomai nuo jų vertės</w:t>
      </w:r>
      <w:r w:rsidR="00C53F9C">
        <w:rPr>
          <w:rFonts w:asciiTheme="majorHAnsi" w:hAnsiTheme="majorHAnsi" w:cstheme="majorHAnsi"/>
          <w:lang w:val="lt-LT"/>
        </w:rPr>
        <w:t>,</w:t>
      </w:r>
      <w:r w:rsidRPr="00B05B01">
        <w:rPr>
          <w:rFonts w:asciiTheme="majorHAnsi" w:hAnsiTheme="majorHAnsi" w:cstheme="majorHAnsi"/>
          <w:lang w:val="lt-LT"/>
        </w:rPr>
        <w:t xml:space="preserve"> yra registruojamos skaitmeniniame dovanų registre vidaus teisės aktų nustatyta tvarka. Darbuotojams draudžiama tiesiogiai ar netiesiogiai reikalauti Dovanų ir / ar paslaugų</w:t>
      </w:r>
      <w:r w:rsidRPr="00B05B01">
        <w:rPr>
          <w:rFonts w:asciiTheme="majorHAnsi" w:hAnsiTheme="majorHAnsi" w:cstheme="majorHAnsi"/>
        </w:rPr>
        <w:t xml:space="preserve">, </w:t>
      </w:r>
      <w:r w:rsidRPr="00B05B01">
        <w:rPr>
          <w:rFonts w:asciiTheme="majorHAnsi" w:hAnsiTheme="majorHAnsi" w:cstheme="majorHAnsi"/>
          <w:lang w:val="lt-LT"/>
        </w:rPr>
        <w:t xml:space="preserve">susijusių su darbuotojo pareigomis. </w:t>
      </w:r>
    </w:p>
    <w:p w14:paraId="0BC69190" w14:textId="77777777" w:rsidR="00523F9B" w:rsidRPr="00B05B01" w:rsidRDefault="00523F9B" w:rsidP="00523F9B">
      <w:pPr>
        <w:spacing w:after="0" w:line="240" w:lineRule="auto"/>
        <w:ind w:left="284"/>
        <w:jc w:val="both"/>
        <w:rPr>
          <w:rFonts w:asciiTheme="majorHAnsi" w:hAnsiTheme="majorHAnsi" w:cstheme="majorHAnsi"/>
          <w:noProof/>
          <w:lang w:val="lt-LT"/>
        </w:rPr>
      </w:pPr>
      <w:r w:rsidRPr="00B05B01">
        <w:rPr>
          <w:rFonts w:asciiTheme="majorHAnsi" w:hAnsiTheme="majorHAnsi" w:cstheme="majorHAnsi"/>
          <w:noProof/>
          <w:lang w:val="lt-LT"/>
        </w:rPr>
        <w:t>4.1.5.</w:t>
      </w:r>
      <w:r w:rsidRPr="00B05B01">
        <w:rPr>
          <w:rFonts w:asciiTheme="majorHAnsi" w:hAnsiTheme="majorHAnsi" w:cstheme="majorHAnsi"/>
          <w:b/>
          <w:bCs/>
          <w:noProof/>
          <w:lang w:val="lt-LT"/>
        </w:rPr>
        <w:t xml:space="preserve"> informaciją apie galimą pažeidimą pateikusio asmens apsaugos užtikrinimas</w:t>
      </w:r>
      <w:r w:rsidRPr="00B05B01">
        <w:rPr>
          <w:rFonts w:asciiTheme="majorHAnsi" w:hAnsiTheme="majorHAnsi" w:cstheme="majorHAnsi"/>
          <w:noProof/>
          <w:lang w:val="lt-LT"/>
        </w:rPr>
        <w:t xml:space="preserve"> – Bendrovė skatina teikti informaciją apie pažeidimus net ir nebūnant įsitikinus pranešamų faktų tikrumu, užtikrina gautos informacijos apie galimus pažeidimus tinkamą išnagrinėjimą. Jei Bendrovė nėra kompetentinga vertinti informaciją arba jos turinys leidžia pagrįstai manyti, kad yra rengiama, daroma ar padaryta nusikalstama veika, administracinis nusižengimas, informacija perduodama kompetentingai institucijai ir apie tai pranešama informaciją teikusiam asmeniui. Bendrovė imasi priemonių, kad asmenys, teikiantys informaciją apie pažeidimą pagal Lietuvos Respublikos pranešėjų apsaugos įstatymą, būtų apsaugoti nuo bet kokių galimų neigiamų pasekmių, užtikrina jų konfidencialumą. Šias priemones Bendrovė taiko ir pateiktai informacijai nepasitvirtinus.</w:t>
      </w:r>
    </w:p>
    <w:p w14:paraId="5BCAF131"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4.1.6.</w:t>
      </w:r>
      <w:r w:rsidRPr="00B05B01">
        <w:rPr>
          <w:rFonts w:asciiTheme="majorHAnsi" w:hAnsiTheme="majorHAnsi" w:cstheme="majorHAnsi"/>
          <w:b/>
          <w:bCs/>
          <w:lang w:val="lt-LT"/>
        </w:rPr>
        <w:t xml:space="preserve"> personalo patikimumo užtikrinimas</w:t>
      </w:r>
      <w:r w:rsidRPr="00B05B01">
        <w:rPr>
          <w:rFonts w:asciiTheme="majorHAnsi" w:hAnsiTheme="majorHAnsi" w:cstheme="majorHAnsi"/>
          <w:lang w:val="lt-LT"/>
        </w:rPr>
        <w:t xml:space="preserve"> – Bendrovės personalo formavimo procedūrose užtikrinama, kad visi asmenys, siekiantys eiti pareigas, priimami į pareigas Bendrovėje tik tuomet, kai išorės teisės aktų nustatyta tvarka būtų gauta ir įvertinta informacija apie jų patikimumą ir tinkamumą eiti pareigas. Taip pat renkama ir vertinama informacija apie Bendrovės darbuotojus, kai yra motyvuotos ir duomenimis pagrįstos abejonės dėl jų patikimumo, tinkamumo eiti pareigas. Informacija renkama ir vertinama apie tuos asmenis, kurių pareigybės yra įtrauktos į Bendrovės generalinio direktoriaus įsakymu patvirtintą Pareigybių sąrašą. Pareigybių sąrašas yra skelbiamas Bendrovės interneto svetainėje.</w:t>
      </w:r>
    </w:p>
    <w:p w14:paraId="1393C144"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4.1.7.</w:t>
      </w:r>
      <w:r w:rsidRPr="00B05B01">
        <w:rPr>
          <w:rFonts w:asciiTheme="majorHAnsi" w:hAnsiTheme="majorHAnsi" w:cstheme="majorHAnsi"/>
          <w:b/>
          <w:bCs/>
          <w:lang w:val="lt-LT"/>
        </w:rPr>
        <w:t xml:space="preserve"> antikorupcinio sąmoningumo didinimas</w:t>
      </w:r>
      <w:r w:rsidRPr="00B05B01">
        <w:rPr>
          <w:rFonts w:asciiTheme="majorHAnsi" w:hAnsiTheme="majorHAnsi" w:cstheme="majorHAnsi"/>
          <w:lang w:val="lt-LT"/>
        </w:rPr>
        <w:t xml:space="preserve"> – Bendrovės darbuotojai dalyvauja visuose organizuojamuose mokymuose korupcijai atsparios aplinkos kūrimo klausimais.</w:t>
      </w:r>
    </w:p>
    <w:p w14:paraId="266A06BA"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4.1.8.</w:t>
      </w:r>
      <w:r w:rsidRPr="00B05B01">
        <w:rPr>
          <w:rFonts w:asciiTheme="majorHAnsi" w:hAnsiTheme="majorHAnsi" w:cstheme="majorHAnsi"/>
          <w:b/>
          <w:bCs/>
          <w:lang w:val="lt-LT"/>
        </w:rPr>
        <w:t xml:space="preserve"> atsparumo korupcijai lygio nustatymas</w:t>
      </w:r>
      <w:r w:rsidRPr="00B05B01">
        <w:rPr>
          <w:rFonts w:asciiTheme="majorHAnsi" w:hAnsiTheme="majorHAnsi" w:cstheme="majorHAnsi"/>
          <w:lang w:val="lt-LT"/>
        </w:rPr>
        <w:t xml:space="preserve"> – kasmet Bendrovėje vidaus teisės aktų nustatyta tvarka vertinamas atsparumo korupcijai lygis bei jo rezultatai skelbiami Bendrovės interneto svetainėje.</w:t>
      </w:r>
    </w:p>
    <w:p w14:paraId="4C90C9D0"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4.1.9.</w:t>
      </w:r>
      <w:r w:rsidRPr="00B05B01">
        <w:rPr>
          <w:rFonts w:asciiTheme="majorHAnsi" w:hAnsiTheme="majorHAnsi" w:cstheme="majorHAnsi"/>
          <w:b/>
          <w:bCs/>
          <w:lang w:val="lt-LT"/>
        </w:rPr>
        <w:t xml:space="preserve"> korupcijos rizikos valdymo vertinimas – </w:t>
      </w:r>
      <w:r w:rsidRPr="00B05B01">
        <w:rPr>
          <w:rFonts w:asciiTheme="majorHAnsi" w:hAnsiTheme="majorHAnsi" w:cstheme="majorHAnsi"/>
          <w:lang w:val="lt-LT"/>
        </w:rPr>
        <w:t>išorės ir vidaus teisės aktų nustatyta tvarka atliekamas korupcijai atsparios aplinkos kūrimo veiklos auditavimas dėl korupcijos rizikos valdymo, korupcijai atsparios aplinkos kūrimą reglamentuojančių teisės aktų reikalavimų laikymosi, rizikų valdymo ir vidaus kontrolės užtikrinimo, Politikoje ar korupcijos prevencijos veiksmų plane numatytų korupcijai atsparios aplinkos kūrimo priemonių įgyvendinimo.</w:t>
      </w:r>
    </w:p>
    <w:p w14:paraId="699B0BE6"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4.1.10. </w:t>
      </w:r>
      <w:r w:rsidRPr="00B05B01">
        <w:rPr>
          <w:rFonts w:asciiTheme="majorHAnsi" w:hAnsiTheme="majorHAnsi" w:cstheme="majorHAnsi"/>
          <w:b/>
          <w:bCs/>
          <w:lang w:val="lt-LT"/>
        </w:rPr>
        <w:t>viešųjų pirkimų skaidrumas</w:t>
      </w:r>
      <w:r w:rsidRPr="00B05B01">
        <w:rPr>
          <w:rFonts w:asciiTheme="majorHAnsi" w:hAnsiTheme="majorHAnsi" w:cstheme="majorHAnsi"/>
          <w:lang w:val="lt-LT"/>
        </w:rPr>
        <w:t xml:space="preserve"> – Bendrovėje diegiami vidaus kontrolės mechanizmai, kuriais siekiama užtikrinti, kad viešieji pirkimai Bendrovėje būtų vykdomi skaidriai, laikantis lygiateisiškumo, nediskriminavimo, abipusio pripažinimo, proporcingumo ir nešališkumo reikalavimų, racionaliai panaudojant lėšas, tiekėjams sudarant vienodas ir nediskriminacines sąlygas tiek viešojo pirkimo, tiek viešojo pirkimo-pardavimo sutarties vykdymo metu.</w:t>
      </w:r>
      <w:r w:rsidRPr="00591337">
        <w:rPr>
          <w:rFonts w:asciiTheme="majorHAnsi" w:hAnsiTheme="majorHAnsi" w:cstheme="majorHAnsi"/>
        </w:rPr>
        <w:t xml:space="preserve"> </w:t>
      </w:r>
      <w:r w:rsidRPr="00B05B01">
        <w:rPr>
          <w:rFonts w:asciiTheme="majorHAnsi" w:hAnsiTheme="majorHAnsi" w:cstheme="majorHAnsi"/>
        </w:rPr>
        <w:t xml:space="preserve">Bendrovėje užtikrinama </w:t>
      </w:r>
      <w:r w:rsidRPr="00B05B01">
        <w:rPr>
          <w:rFonts w:asciiTheme="majorHAnsi" w:hAnsiTheme="majorHAnsi" w:cstheme="majorHAnsi"/>
          <w:lang w:val="lt-LT"/>
        </w:rPr>
        <w:t xml:space="preserve">proaktyvi interesų konfliktų prevencija per visą viešųjų pirkimų ir jų vykdymo procesą (nuo inicijavimo iki įsigytų prekių ar paslaugų priėmimo). Bendrovėje vadovai ir viešuosiuose </w:t>
      </w:r>
      <w:r w:rsidRPr="00B05B01">
        <w:rPr>
          <w:rFonts w:asciiTheme="majorHAnsi" w:hAnsiTheme="majorHAnsi" w:cstheme="majorHAnsi"/>
          <w:lang w:val="lt-LT"/>
        </w:rPr>
        <w:lastRenderedPageBreak/>
        <w:t>pirkimuose dalyvaujantys darbuotojai pateikia (atskleidžia) informaciją apie Susitikimus su išorės subjektais juos registruojant Bendrovės skaitmeniniame susitikimų registre.</w:t>
      </w:r>
    </w:p>
    <w:p w14:paraId="7C246080"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4.1.11. </w:t>
      </w:r>
      <w:r w:rsidRPr="00B05B01">
        <w:rPr>
          <w:rFonts w:asciiTheme="majorHAnsi" w:hAnsiTheme="majorHAnsi" w:cstheme="majorHAnsi"/>
          <w:b/>
          <w:bCs/>
          <w:lang w:val="lt-LT"/>
        </w:rPr>
        <w:t>skaidri lobistinė veikla</w:t>
      </w:r>
      <w:r w:rsidRPr="00B05B01">
        <w:rPr>
          <w:rFonts w:asciiTheme="majorHAnsi" w:hAnsiTheme="majorHAnsi" w:cstheme="majorHAnsi"/>
          <w:lang w:val="lt-LT"/>
        </w:rPr>
        <w:t xml:space="preserve"> – Bendrovė, vykdydama lobistinę veiklą, puoselėja skaidrumo ir sąžiningumo kultūrą, užtikrina, kad palaikydama santykius su valstybės pareigūnais, kitais lobistais, savo klientais ir visuomene, vengs neteisėtos įtakos ir laikysis profesinių standartų, taip pat teiks lobistų skaidrumo deklaracijas Lietuvos Respublikos lobistinės veiklos įstatymo nustatyta tvarka. Bendrovė neteikia asmenims, kuriems lobistine veikla siekiama daryti įtaką, dovanų arba nežada atlygio už priimtą arba nepriimtą teisės aktą.</w:t>
      </w:r>
    </w:p>
    <w:p w14:paraId="1A970890" w14:textId="77777777" w:rsidR="00523F9B" w:rsidRPr="00B05B01" w:rsidRDefault="00523F9B" w:rsidP="00523F9B">
      <w:pPr>
        <w:spacing w:after="0" w:line="240" w:lineRule="auto"/>
        <w:ind w:left="284"/>
        <w:jc w:val="both"/>
        <w:rPr>
          <w:rFonts w:asciiTheme="majorHAnsi" w:hAnsiTheme="majorHAnsi" w:cstheme="majorHAnsi"/>
          <w:noProof/>
          <w:lang w:val="lt-LT"/>
        </w:rPr>
      </w:pPr>
      <w:r w:rsidRPr="00B05B01">
        <w:rPr>
          <w:rFonts w:asciiTheme="majorHAnsi" w:hAnsiTheme="majorHAnsi" w:cstheme="majorHAnsi"/>
          <w:noProof/>
          <w:lang w:val="lt-LT"/>
        </w:rPr>
        <w:t>4.1.12. Bendrovėje gali būti taikomos kitos Politikos nenustatytos korupcijai atsparios aplinkos kūrimo priemonės, kurios prisidės prie korupcijai atsparesnės aplinkos Bendrovėje.</w:t>
      </w:r>
    </w:p>
    <w:p w14:paraId="2F302BBE" w14:textId="77777777" w:rsidR="00523F9B" w:rsidRPr="00B05B01" w:rsidRDefault="00523F9B" w:rsidP="00523F9B">
      <w:pPr>
        <w:spacing w:after="0" w:line="240" w:lineRule="auto"/>
        <w:ind w:left="284"/>
        <w:jc w:val="both"/>
        <w:rPr>
          <w:rFonts w:asciiTheme="majorHAnsi" w:hAnsiTheme="majorHAnsi" w:cstheme="majorHAnsi"/>
          <w:lang w:val="lt-LT"/>
        </w:rPr>
      </w:pPr>
      <w:r w:rsidRPr="00B05B01">
        <w:rPr>
          <w:rFonts w:asciiTheme="majorHAnsi" w:hAnsiTheme="majorHAnsi" w:cstheme="majorHAnsi"/>
          <w:lang w:val="lt-LT"/>
        </w:rPr>
        <w:t xml:space="preserve">4.2. </w:t>
      </w:r>
      <w:r w:rsidRPr="00B05B01">
        <w:rPr>
          <w:rFonts w:asciiTheme="majorHAnsi" w:hAnsiTheme="majorHAnsi" w:cstheme="majorHAnsi"/>
          <w:lang w:val="lt-LT"/>
        </w:rPr>
        <w:tab/>
        <w:t xml:space="preserve">Bendrovė skatina Darbuotojus, valdybos narius, kontrahentus, Suinteresuotuosius asmenis, nesibaiminant neigiamų pasekmių, konfidencialiai pranešti vidiniu informacijos apie Politikos nesilaikymo atvejus ar pažeidimus teikimo kanalu, užpildant pranešimo apie pažeidimą formą Bendrovės intraneto skiltyje “Nebūk abejingas – pranešk” ar Bendrovės internetinėje svetainėje </w:t>
      </w:r>
      <w:hyperlink r:id="rId20" w:history="1">
        <w:r w:rsidRPr="00B05B01">
          <w:rPr>
            <w:rStyle w:val="Hyperlink"/>
            <w:rFonts w:asciiTheme="majorHAnsi" w:hAnsiTheme="majorHAnsi" w:cstheme="majorHAnsi"/>
            <w:lang w:val="lt-LT"/>
          </w:rPr>
          <w:t>https://www.vv.lt/</w:t>
        </w:r>
      </w:hyperlink>
      <w:r w:rsidRPr="00B05B01">
        <w:rPr>
          <w:rFonts w:asciiTheme="majorHAnsi" w:hAnsiTheme="majorHAnsi" w:cstheme="majorHAnsi"/>
          <w:lang w:val="lt-LT"/>
        </w:rPr>
        <w:t xml:space="preserve"> pasirinkę nuorodą Pranešėjo apsauga, elektroninio pašto adresu </w:t>
      </w:r>
      <w:hyperlink r:id="rId21" w:history="1">
        <w:r w:rsidRPr="00B05B01">
          <w:rPr>
            <w:rStyle w:val="Hyperlink"/>
            <w:rFonts w:asciiTheme="majorHAnsi" w:hAnsiTheme="majorHAnsi" w:cstheme="majorHAnsi"/>
            <w:lang w:val="lt-LT"/>
          </w:rPr>
          <w:t>pranesk@vv.lt</w:t>
        </w:r>
      </w:hyperlink>
      <w:r w:rsidRPr="00B05B01">
        <w:rPr>
          <w:rFonts w:asciiTheme="majorHAnsi" w:hAnsiTheme="majorHAnsi" w:cstheme="majorHAnsi"/>
          <w:lang w:val="lt-LT"/>
        </w:rPr>
        <w:t xml:space="preserve">, atvykus į Veiklos atsparumo skyrių arba pranešti laisvos formos pranešimu, kuriame turi būti pateikta Bendrovės generalinio direktoriaus vidaus teisės akto nustatyta tvarka nurodyta informacija apie galimą pažeidimą. </w:t>
      </w:r>
    </w:p>
    <w:p w14:paraId="660AF109" w14:textId="77777777" w:rsidR="00523F9B" w:rsidRPr="00B05B01" w:rsidRDefault="00523F9B" w:rsidP="00523F9B">
      <w:pPr>
        <w:spacing w:after="0" w:line="240" w:lineRule="auto"/>
        <w:ind w:left="284"/>
        <w:jc w:val="both"/>
        <w:rPr>
          <w:rFonts w:asciiTheme="majorHAnsi" w:hAnsiTheme="majorHAnsi" w:cstheme="majorHAnsi"/>
          <w:noProof/>
        </w:rPr>
      </w:pPr>
      <w:r w:rsidRPr="00B05B01">
        <w:rPr>
          <w:rFonts w:asciiTheme="majorHAnsi" w:hAnsiTheme="majorHAnsi" w:cstheme="majorHAnsi"/>
          <w:lang w:val="lt-LT"/>
        </w:rPr>
        <w:t>4.3.</w:t>
      </w:r>
      <w:r w:rsidRPr="00B05B01">
        <w:rPr>
          <w:rFonts w:asciiTheme="majorHAnsi" w:hAnsiTheme="majorHAnsi" w:cstheme="majorHAnsi"/>
          <w:lang w:val="lt-LT"/>
        </w:rPr>
        <w:tab/>
        <w:t xml:space="preserve">Informaciją apie Politikos pažeidimą gali pateikti anonimiškai visi asmenys, paskambinę į Bendrovės trumpuoju telefonu 19118, atvykę į Bendrovės centrinę būstinę Veiklos atsparumo skyrių, užpildę pranešimo formą Bendrovės intraneto skiltyje “Nebūk abejingas – pranešk” ar Bendrovės internetinėje svetainėje https: //www.vv.lt/ pasirinkę nuorodą Pasitikėjimo linija arba el. paštu </w:t>
      </w:r>
      <w:hyperlink r:id="rId22" w:history="1">
        <w:r w:rsidRPr="00B05B01">
          <w:rPr>
            <w:rStyle w:val="Hyperlink"/>
            <w:rFonts w:asciiTheme="majorHAnsi" w:hAnsiTheme="majorHAnsi" w:cstheme="majorHAnsi"/>
            <w:lang w:val="lt-LT"/>
          </w:rPr>
          <w:t>pasitikejimolinija@vv.lt</w:t>
        </w:r>
      </w:hyperlink>
      <w:r w:rsidRPr="00B05B01">
        <w:rPr>
          <w:rFonts w:asciiTheme="majorHAnsi" w:hAnsiTheme="majorHAnsi" w:cstheme="majorHAnsi"/>
          <w:lang w:val="lt-LT"/>
        </w:rPr>
        <w:t>.</w:t>
      </w:r>
    </w:p>
    <w:p w14:paraId="4CCDDE61" w14:textId="77777777" w:rsidR="00523F9B" w:rsidRPr="00B05B01" w:rsidRDefault="00523F9B" w:rsidP="00523F9B">
      <w:pPr>
        <w:pStyle w:val="Default"/>
        <w:ind w:left="284"/>
        <w:jc w:val="both"/>
        <w:rPr>
          <w:rFonts w:asciiTheme="majorHAnsi" w:hAnsiTheme="majorHAnsi" w:cstheme="majorHAnsi"/>
          <w:sz w:val="22"/>
          <w:szCs w:val="22"/>
        </w:rPr>
      </w:pPr>
      <w:r w:rsidRPr="00B05B01">
        <w:rPr>
          <w:rFonts w:asciiTheme="majorHAnsi" w:hAnsiTheme="majorHAnsi" w:cstheme="majorHAnsi"/>
          <w:noProof/>
          <w:sz w:val="22"/>
          <w:szCs w:val="22"/>
        </w:rPr>
        <w:t>4.4.</w:t>
      </w:r>
      <w:r w:rsidRPr="00591337">
        <w:rPr>
          <w:rFonts w:asciiTheme="majorHAnsi" w:hAnsiTheme="majorHAnsi" w:cstheme="majorHAnsi"/>
          <w:b/>
          <w:bCs/>
          <w:noProof/>
          <w:sz w:val="22"/>
          <w:szCs w:val="22"/>
        </w:rPr>
        <w:t xml:space="preserve"> </w:t>
      </w:r>
      <w:r w:rsidRPr="00B05B01">
        <w:rPr>
          <w:rFonts w:asciiTheme="majorHAnsi" w:hAnsiTheme="majorHAnsi" w:cstheme="majorHAnsi"/>
          <w:sz w:val="22"/>
          <w:szCs w:val="22"/>
        </w:rPr>
        <w:t xml:space="preserve">Pranešimas apie Politikos pažeidimą Bendrovėje yra vertinamas kaip tinkamas ir etiškas elgesys. Bendrovėje gerbiamas asmens pasirinkimas, kokiu būdu pranešti apie galimą pažeidimą, todėl užtikrinamas informaciją pateikusio asmens konfidencialumas arba anonimiškumas. </w:t>
      </w:r>
    </w:p>
    <w:p w14:paraId="10D90F99" w14:textId="77777777" w:rsidR="00523F9B" w:rsidRPr="00B05B01" w:rsidRDefault="00523F9B" w:rsidP="00523F9B">
      <w:pPr>
        <w:pStyle w:val="Default"/>
        <w:ind w:left="284"/>
        <w:jc w:val="both"/>
        <w:rPr>
          <w:rFonts w:asciiTheme="majorHAnsi" w:hAnsiTheme="majorHAnsi" w:cstheme="majorHAnsi"/>
          <w:sz w:val="22"/>
          <w:szCs w:val="22"/>
        </w:rPr>
      </w:pPr>
      <w:r w:rsidRPr="00B05B01">
        <w:rPr>
          <w:rFonts w:asciiTheme="majorHAnsi" w:hAnsiTheme="majorHAnsi" w:cstheme="majorHAnsi"/>
          <w:sz w:val="22"/>
          <w:szCs w:val="22"/>
        </w:rPr>
        <w:t>4.5. Bendrovės vidiniu kanalu ir (ar) Pasitikėjimo linija gauta informacija apie galimą pažeidimą nagrinėjama Bendrovės generalinio direktoriaus vidaus teisės aktų nustatyta tvarka.</w:t>
      </w:r>
    </w:p>
    <w:p w14:paraId="07D97FF1" w14:textId="77777777" w:rsidR="00082EDE" w:rsidRPr="00B05B01" w:rsidRDefault="00082EDE" w:rsidP="00523F9B">
      <w:pPr>
        <w:pStyle w:val="Default"/>
        <w:ind w:left="284"/>
        <w:jc w:val="both"/>
        <w:rPr>
          <w:rFonts w:asciiTheme="majorHAnsi" w:hAnsiTheme="majorHAnsi" w:cstheme="majorHAnsi"/>
          <w:sz w:val="22"/>
          <w:szCs w:val="22"/>
        </w:rPr>
      </w:pPr>
    </w:p>
    <w:p w14:paraId="0F2E0C13" w14:textId="77777777" w:rsidR="009F65AD" w:rsidRPr="00B05B01" w:rsidRDefault="009F65AD" w:rsidP="009F65AD">
      <w:pPr>
        <w:keepNext/>
        <w:keepLines/>
        <w:numPr>
          <w:ilvl w:val="0"/>
          <w:numId w:val="26"/>
        </w:numPr>
        <w:spacing w:before="40" w:after="0"/>
        <w:jc w:val="both"/>
        <w:outlineLvl w:val="1"/>
        <w:rPr>
          <w:rFonts w:asciiTheme="majorHAnsi" w:eastAsiaTheme="majorEastAsia" w:hAnsiTheme="majorHAnsi" w:cstheme="majorHAnsi"/>
          <w:b/>
          <w:bCs/>
        </w:rPr>
      </w:pPr>
      <w:bookmarkStart w:id="10" w:name="_Hlk58402332"/>
      <w:bookmarkStart w:id="11" w:name="_Toc58403972"/>
      <w:r w:rsidRPr="00B05B01">
        <w:rPr>
          <w:rFonts w:asciiTheme="majorHAnsi" w:eastAsiaTheme="majorEastAsia" w:hAnsiTheme="majorHAnsi" w:cstheme="majorHAnsi"/>
          <w:b/>
          <w:bCs/>
        </w:rPr>
        <w:t>ATSAKOMYBĖ</w:t>
      </w:r>
    </w:p>
    <w:p w14:paraId="7491F5A3" w14:textId="77777777" w:rsidR="009F65AD" w:rsidRPr="00B05B01" w:rsidRDefault="009F65AD" w:rsidP="009F65AD">
      <w:pPr>
        <w:numPr>
          <w:ilvl w:val="1"/>
          <w:numId w:val="27"/>
        </w:numPr>
        <w:spacing w:after="0" w:line="240" w:lineRule="auto"/>
        <w:contextualSpacing/>
        <w:jc w:val="both"/>
        <w:rPr>
          <w:rFonts w:asciiTheme="majorHAnsi" w:hAnsiTheme="majorHAnsi" w:cstheme="majorHAnsi"/>
          <w:color w:val="000000"/>
          <w:lang w:val="lt-LT"/>
        </w:rPr>
      </w:pPr>
      <w:r w:rsidRPr="00B05B01">
        <w:rPr>
          <w:rFonts w:asciiTheme="majorHAnsi" w:hAnsiTheme="majorHAnsi" w:cstheme="majorHAnsi"/>
          <w:color w:val="000000"/>
          <w:lang w:val="lt-LT"/>
        </w:rPr>
        <w:t>Politiką formuojantys ir įgyvendinantys subjektai yra Bendrovės valdyba, Bendrovės generalinis direktorius, Veiklos atsparumo skyriaus vadovas ir antikorupcinės aplinkos kūrimo funkcijas vykdantis (- ys) darbuotojas (- ai), Bendrovės struktūrinių padalinių vadovai:</w:t>
      </w:r>
    </w:p>
    <w:p w14:paraId="1E896C06" w14:textId="77777777" w:rsidR="009F65AD" w:rsidRPr="00B05B01" w:rsidRDefault="009F65AD" w:rsidP="009F65AD">
      <w:pPr>
        <w:numPr>
          <w:ilvl w:val="2"/>
          <w:numId w:val="27"/>
        </w:numPr>
        <w:autoSpaceDE w:val="0"/>
        <w:autoSpaceDN w:val="0"/>
        <w:adjustRightInd w:val="0"/>
        <w:spacing w:after="0" w:line="240" w:lineRule="auto"/>
        <w:ind w:left="993"/>
        <w:jc w:val="both"/>
        <w:rPr>
          <w:rFonts w:asciiTheme="majorHAnsi" w:hAnsiTheme="majorHAnsi" w:cstheme="majorHAnsi"/>
          <w:color w:val="000000"/>
          <w:lang w:val="lt-LT"/>
        </w:rPr>
      </w:pPr>
      <w:r w:rsidRPr="00B05B01">
        <w:rPr>
          <w:rFonts w:asciiTheme="majorHAnsi" w:hAnsiTheme="majorHAnsi" w:cstheme="majorHAnsi"/>
          <w:b/>
          <w:bCs/>
          <w:color w:val="000000"/>
          <w:lang w:val="lt-LT"/>
        </w:rPr>
        <w:t>Bendrovės valdyba:</w:t>
      </w:r>
    </w:p>
    <w:p w14:paraId="1901D4C2" w14:textId="77777777" w:rsidR="009F65AD" w:rsidRPr="00B05B01" w:rsidRDefault="009F65AD" w:rsidP="009F65AD">
      <w:pPr>
        <w:numPr>
          <w:ilvl w:val="3"/>
          <w:numId w:val="27"/>
        </w:numPr>
        <w:spacing w:after="0" w:line="240" w:lineRule="auto"/>
        <w:ind w:left="284" w:hanging="11"/>
        <w:contextualSpacing/>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asmeniniu pavyzdžiu formuoja Politikoje numatytą elgesio standartą; </w:t>
      </w:r>
    </w:p>
    <w:p w14:paraId="764BE141" w14:textId="77777777" w:rsidR="009F65AD" w:rsidRPr="00B05B01" w:rsidRDefault="009F65AD" w:rsidP="009F65AD">
      <w:pPr>
        <w:numPr>
          <w:ilvl w:val="3"/>
          <w:numId w:val="27"/>
        </w:numPr>
        <w:spacing w:after="0" w:line="240" w:lineRule="auto"/>
        <w:ind w:left="284" w:hanging="11"/>
        <w:contextualSpacing/>
        <w:jc w:val="both"/>
        <w:rPr>
          <w:rFonts w:asciiTheme="majorHAnsi" w:hAnsiTheme="majorHAnsi" w:cstheme="majorHAnsi"/>
          <w:color w:val="000000"/>
          <w:lang w:val="lt-LT"/>
        </w:rPr>
      </w:pPr>
      <w:r w:rsidRPr="00B05B01">
        <w:rPr>
          <w:rFonts w:asciiTheme="majorHAnsi" w:eastAsia="Times New Roman" w:hAnsiTheme="majorHAnsi" w:cstheme="majorHAnsi"/>
          <w:lang w:val="lt-LT"/>
        </w:rPr>
        <w:t>užtikrina, kad jai ne rečiau negu 1 (vieną) kartą per vienerius kalendorinius metus būtų teikiama informacija apie korupcijai atsparios aplinkos kūrimo procesą ir taikomų korupcijai atsparios aplinkos kūrimo priemonių įgyvendinimo rezultatus.</w:t>
      </w:r>
    </w:p>
    <w:p w14:paraId="580D5F17"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b/>
          <w:bCs/>
          <w:color w:val="000000"/>
          <w:lang w:val="lt-LT"/>
        </w:rPr>
        <w:t>Bendrovės generalinis direktorius</w:t>
      </w:r>
      <w:r w:rsidRPr="00B05B01">
        <w:rPr>
          <w:rFonts w:asciiTheme="majorHAnsi" w:hAnsiTheme="majorHAnsi" w:cstheme="majorHAnsi"/>
          <w:color w:val="000000"/>
          <w:lang w:val="lt-LT"/>
        </w:rPr>
        <w:t>:</w:t>
      </w:r>
    </w:p>
    <w:p w14:paraId="1405E587"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 formuoja ir puoselėja antikorupcinę kultūrą, savo pavyzdžiu skatina kitus darbuotojus demonstruoti lyderystę korupcijos prevencijos srityje;</w:t>
      </w:r>
    </w:p>
    <w:p w14:paraId="41431C4C"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skiria reikiamus išteklius, kad korupcijai atspari aplinka būtų kuriama efektyviai; </w:t>
      </w:r>
    </w:p>
    <w:p w14:paraId="46A1688D"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paskirsto įgaliojimus darbuotojams korupcijai atsparios aplinkos kūrimo srityje bei užtikrina jų teises ir veiklos garantijas, įskaitant priemones, kuriomis apsaugomi nuo galimo neigiamo poveikio dėl jų atliekamų funkcijų;</w:t>
      </w:r>
    </w:p>
    <w:p w14:paraId="3934B400"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skiria įgaliotą asmenį, kad efektyviai būtų valdomi interesų konfliktai viešųjų pirkimų procese;</w:t>
      </w:r>
    </w:p>
    <w:p w14:paraId="35EA487B"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užtikrina vidaus ir išorės informacijos sklaidą antikorupcinės aplinkos kūrimo klausimais;</w:t>
      </w:r>
    </w:p>
    <w:p w14:paraId="77EB6069" w14:textId="77777777" w:rsidR="009F65AD" w:rsidRPr="00B05B01" w:rsidRDefault="009F65AD" w:rsidP="009F65AD">
      <w:pPr>
        <w:numPr>
          <w:ilvl w:val="3"/>
          <w:numId w:val="27"/>
        </w:numPr>
        <w:spacing w:after="0" w:line="240" w:lineRule="auto"/>
        <w:ind w:left="284" w:hanging="11"/>
        <w:contextualSpacing/>
        <w:jc w:val="both"/>
        <w:rPr>
          <w:rFonts w:asciiTheme="majorHAnsi" w:eastAsia="Times New Roman" w:hAnsiTheme="majorHAnsi" w:cstheme="majorHAnsi"/>
          <w:lang w:val="lt-LT"/>
        </w:rPr>
      </w:pPr>
      <w:r w:rsidRPr="00B05B01">
        <w:rPr>
          <w:rFonts w:asciiTheme="majorHAnsi" w:hAnsiTheme="majorHAnsi" w:cstheme="majorHAnsi"/>
          <w:color w:val="000000"/>
          <w:lang w:val="lt-LT"/>
        </w:rPr>
        <w:lastRenderedPageBreak/>
        <w:t>sudaro galimybes asmenims teikti nuomonę ir pasiūlymus dėl korupcijai atsparios aplinkos kūrimo</w:t>
      </w:r>
      <w:r w:rsidRPr="00B05B01">
        <w:rPr>
          <w:rFonts w:asciiTheme="majorHAnsi" w:eastAsia="Times New Roman" w:hAnsiTheme="majorHAnsi" w:cstheme="majorHAnsi"/>
          <w:lang w:val="lt-LT"/>
        </w:rPr>
        <w:t>.</w:t>
      </w:r>
    </w:p>
    <w:p w14:paraId="1BDE9229"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b/>
          <w:bCs/>
          <w:color w:val="000000"/>
          <w:lang w:val="lt-LT"/>
        </w:rPr>
        <w:t>Veiklos atsparumo skyriaus vadovas</w:t>
      </w:r>
      <w:r w:rsidRPr="00B05B01">
        <w:rPr>
          <w:rFonts w:asciiTheme="majorHAnsi" w:hAnsiTheme="majorHAnsi" w:cstheme="majorHAnsi"/>
          <w:color w:val="000000"/>
          <w:lang w:val="lt-LT"/>
        </w:rPr>
        <w:t>:</w:t>
      </w:r>
    </w:p>
    <w:p w14:paraId="4499E5AB"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formuoja atsparumo korupcijai kultūrą;</w:t>
      </w:r>
    </w:p>
    <w:p w14:paraId="5F0CA27E"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prižiūri, kaip Bendrovėje įgyvendinamos korupcijai atsparios aplinkos kūrimo priemonės ir ne rečiau negu 1 (vieną) kartą per vienerius kalendorinius metus Bendrovės Vadovybei teikia informaciją apie korupcijai atsparios aplinkos kūrimo procesą ir taikomų korupcijai atsparios aplinkos kūrimo priemonių įgyvendinimo rezultatus; </w:t>
      </w:r>
    </w:p>
    <w:p w14:paraId="02C29FA8"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užtikrina, kad per Pasitikėjimo liniją gauta sisteminta nuasmeninta informacija apie gautų pranešimų skaičių ir jų nagrinėjimo rezultatus būtų pateikta Bendrovės generaliniam direktoriui ir Audito, rizikų ir tvarumo komiteto pirmininkui vieną kartą per pusę metų, o jei yra reikšminga informacija – nedelsiant;</w:t>
      </w:r>
    </w:p>
    <w:p w14:paraId="7F73A860"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teikia siūlymus Bendrovės generaliniam direktoriui dėl išteklių, reikalingų korupcijai atspariai aplinkai kurti;</w:t>
      </w:r>
    </w:p>
    <w:p w14:paraId="130F5B7F"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užtikrina, kad Politikos nuostatos būtų laiku peržiūrėtos ir atnaujintos.</w:t>
      </w:r>
    </w:p>
    <w:p w14:paraId="4F35E1D7"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b/>
          <w:bCs/>
          <w:color w:val="000000"/>
          <w:lang w:val="lt-LT"/>
        </w:rPr>
        <w:t>Antikorupcinės aplinkos kūrimo funkcijas vykdantis (- ys) darbuotojas (- ai):</w:t>
      </w:r>
    </w:p>
    <w:p w14:paraId="6125D29D"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teikia metodinę pagalbą ir konsultuoja darbuotojus korupcijai atsparios aplinkos kūrimo priemonių įgyvendinimo klausimais;</w:t>
      </w:r>
    </w:p>
    <w:p w14:paraId="030DC541"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rengia Bendrovės teisės aktų projektus ir kitus dokumentus, reikalingus įgyvendinant Politiką, planuojant ir įgyvendinant korupcijai atsparios aplinkos kūrimo priemones;</w:t>
      </w:r>
    </w:p>
    <w:p w14:paraId="4254F786"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įgyvendina už korupcijai atsparios aplinkos kūrimą atsakingų subjektų funkcijas.</w:t>
      </w:r>
    </w:p>
    <w:p w14:paraId="50A8B044"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b/>
          <w:bCs/>
          <w:color w:val="000000"/>
          <w:lang w:val="lt-LT"/>
        </w:rPr>
      </w:pPr>
      <w:r w:rsidRPr="00B05B01">
        <w:rPr>
          <w:rFonts w:asciiTheme="majorHAnsi" w:hAnsiTheme="majorHAnsi" w:cstheme="majorHAnsi"/>
          <w:b/>
          <w:bCs/>
          <w:color w:val="000000"/>
          <w:lang w:val="lt-LT"/>
        </w:rPr>
        <w:t>Bendrovės struktūrinių padalinių vadovai:</w:t>
      </w:r>
    </w:p>
    <w:p w14:paraId="727EF059"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formuoja atsparumo korupcijai kultūrą savo padalinyje; </w:t>
      </w:r>
    </w:p>
    <w:p w14:paraId="0AD789C3" w14:textId="77777777" w:rsidR="009F65AD" w:rsidRPr="00B05B01" w:rsidRDefault="009F65AD" w:rsidP="009F65AD">
      <w:pPr>
        <w:numPr>
          <w:ilvl w:val="3"/>
          <w:numId w:val="27"/>
        </w:numPr>
        <w:spacing w:after="0" w:line="240" w:lineRule="auto"/>
        <w:ind w:left="284" w:hanging="11"/>
        <w:contextualSpacing/>
        <w:jc w:val="both"/>
        <w:rPr>
          <w:rFonts w:asciiTheme="majorHAnsi" w:eastAsia="Times New Roman" w:hAnsiTheme="majorHAnsi" w:cstheme="majorHAnsi"/>
          <w:lang w:val="lt-LT"/>
        </w:rPr>
      </w:pPr>
      <w:r w:rsidRPr="00B05B01">
        <w:rPr>
          <w:rFonts w:asciiTheme="majorHAnsi" w:eastAsia="Times New Roman" w:hAnsiTheme="majorHAnsi" w:cstheme="majorHAnsi"/>
          <w:lang w:val="lt-LT"/>
        </w:rPr>
        <w:t xml:space="preserve">užtikrina korupcijai atsparios aplinkos kūrimą reglamentuojančių teisės aktų nuostatų, Politikos, kitų Bendrovės dokumentų, reglamentuojančių korupcijai atsparios aplinkos kūrimo priemonių vykdymą, reikalavimų laikymąsi </w:t>
      </w:r>
      <w:r w:rsidRPr="00B05B01">
        <w:rPr>
          <w:rFonts w:asciiTheme="majorHAnsi" w:hAnsiTheme="majorHAnsi" w:cstheme="majorHAnsi"/>
          <w:color w:val="000000"/>
          <w:lang w:val="lt-LT"/>
        </w:rPr>
        <w:t>jų padaliniuose arba vykdomų funkcijų srityje</w:t>
      </w:r>
      <w:r w:rsidRPr="00B05B01">
        <w:rPr>
          <w:rFonts w:asciiTheme="majorHAnsi" w:eastAsia="Times New Roman" w:hAnsiTheme="majorHAnsi" w:cstheme="majorHAnsi"/>
          <w:lang w:val="lt-LT"/>
        </w:rPr>
        <w:t>;</w:t>
      </w:r>
    </w:p>
    <w:p w14:paraId="09CCA209"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teikia siūlymus dėl korupcijai atsparios aplinkos kūrimo tobulinimo;</w:t>
      </w:r>
    </w:p>
    <w:p w14:paraId="0A70DC7C" w14:textId="77777777" w:rsidR="009F65AD" w:rsidRPr="00B05B01" w:rsidRDefault="009F65AD" w:rsidP="009F65AD">
      <w:pPr>
        <w:numPr>
          <w:ilvl w:val="3"/>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teikia padalinio darbuotojams rašytines išankstines rekomendacijas, nuo kokių darbo pareigų atlikimo jie privalo nusišalinti. </w:t>
      </w:r>
    </w:p>
    <w:p w14:paraId="26C730C7" w14:textId="77777777" w:rsidR="009F65AD" w:rsidRPr="00B05B01" w:rsidRDefault="009F65AD" w:rsidP="009F65AD">
      <w:pPr>
        <w:numPr>
          <w:ilvl w:val="1"/>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b/>
          <w:bCs/>
          <w:color w:val="000000"/>
          <w:lang w:val="lt-LT"/>
        </w:rPr>
        <w:t xml:space="preserve">Visi Bendrovės darbuotojai </w:t>
      </w:r>
      <w:r w:rsidRPr="00B05B01">
        <w:rPr>
          <w:rFonts w:asciiTheme="majorHAnsi" w:hAnsiTheme="majorHAnsi" w:cstheme="majorHAnsi"/>
          <w:color w:val="000000"/>
          <w:lang w:val="lt-LT"/>
        </w:rPr>
        <w:t>dalyvauja korupcijai atsparios aplinkos kūrimo procese:</w:t>
      </w:r>
    </w:p>
    <w:p w14:paraId="42A710D1"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asmeniškai atsakingi už korupcijai atsparios aplinkos kūrimą reglamentuojančių teisės aktų nuostatų, Politikos, kitų Bendrovės dokumentų, reglamentuojančių korupcijai atsparios aplinkos kūrimo priemonių vykdymą, reikalavimų žinojimą, taikymą ir vykdymą pagal kompetenciją;</w:t>
      </w:r>
    </w:p>
    <w:p w14:paraId="1E3D098E"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 xml:space="preserve">dalyvauja antikorupcinio sąmoningumo didinimo veikloje; </w:t>
      </w:r>
    </w:p>
    <w:p w14:paraId="26A44815"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pildo ir teikia privačių interesų deklaracijas PINREG ar Bendrovės skaitmeninime privačių interesų registre vidaus teisės aktų nustatyta tvarka;</w:t>
      </w:r>
    </w:p>
    <w:p w14:paraId="076E09A6" w14:textId="77777777" w:rsidR="009F65AD" w:rsidRPr="00B05B01" w:rsidRDefault="009F65AD" w:rsidP="009F65AD">
      <w:pPr>
        <w:numPr>
          <w:ilvl w:val="2"/>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teikia antikorupcinės aplinkos kūrimo funkcijas vykdančiam (- iems) darbuotojui (- jams) informaciją, reikalingą kuriant korupcijai atsparią aplinką ar tiriant korupcinio pobūdžio teisės pažeidimus;</w:t>
      </w:r>
    </w:p>
    <w:p w14:paraId="2374EBBD" w14:textId="77777777" w:rsidR="009F65AD" w:rsidRPr="00B05B01" w:rsidRDefault="009F65AD" w:rsidP="009F65AD">
      <w:pPr>
        <w:numPr>
          <w:ilvl w:val="1"/>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Politikos nuostatų pažeidimas gali būti laikomas šiurkščiu darbo pareigų pažeidimu ir už jį gali būti taikoma drausminė atsakomybė.</w:t>
      </w:r>
    </w:p>
    <w:p w14:paraId="5784819C" w14:textId="77777777" w:rsidR="009F65AD" w:rsidRPr="00B05B01" w:rsidRDefault="009F65AD" w:rsidP="009F65AD">
      <w:pPr>
        <w:numPr>
          <w:ilvl w:val="1"/>
          <w:numId w:val="27"/>
        </w:numPr>
        <w:autoSpaceDE w:val="0"/>
        <w:autoSpaceDN w:val="0"/>
        <w:adjustRightInd w:val="0"/>
        <w:spacing w:after="0" w:line="240" w:lineRule="auto"/>
        <w:ind w:left="284" w:hanging="11"/>
        <w:jc w:val="both"/>
        <w:rPr>
          <w:rFonts w:asciiTheme="majorHAnsi" w:hAnsiTheme="majorHAnsi" w:cstheme="majorHAnsi"/>
          <w:color w:val="000000"/>
          <w:lang w:val="lt-LT"/>
        </w:rPr>
      </w:pPr>
      <w:r w:rsidRPr="00B05B01">
        <w:rPr>
          <w:rFonts w:asciiTheme="majorHAnsi" w:hAnsiTheme="majorHAnsi" w:cstheme="majorHAnsi"/>
          <w:color w:val="000000"/>
          <w:lang w:val="lt-LT"/>
        </w:rPr>
        <w:t>Jei Politikos pažeidimas turi nusikalstamos veikos požymių, apie tai per įmanomai trumpiausią laiką nuo sužinojimo momento pranešama kompetentingoms teisėsaugos institucijoms.</w:t>
      </w:r>
    </w:p>
    <w:p w14:paraId="20CEE9E8" w14:textId="77777777" w:rsidR="00082EDE" w:rsidRPr="00B05B01" w:rsidRDefault="00082EDE" w:rsidP="00591337">
      <w:pPr>
        <w:autoSpaceDE w:val="0"/>
        <w:autoSpaceDN w:val="0"/>
        <w:adjustRightInd w:val="0"/>
        <w:spacing w:after="0" w:line="240" w:lineRule="auto"/>
        <w:ind w:left="284"/>
        <w:jc w:val="both"/>
        <w:rPr>
          <w:rFonts w:asciiTheme="majorHAnsi" w:hAnsiTheme="majorHAnsi" w:cstheme="majorHAnsi"/>
          <w:color w:val="000000"/>
          <w:lang w:val="lt-LT"/>
        </w:rPr>
      </w:pPr>
    </w:p>
    <w:p w14:paraId="26F68B7C" w14:textId="77777777" w:rsidR="00E35952" w:rsidRPr="00B05B01" w:rsidRDefault="00E35952" w:rsidP="00591337">
      <w:pPr>
        <w:pStyle w:val="Heading2"/>
        <w:numPr>
          <w:ilvl w:val="0"/>
          <w:numId w:val="27"/>
        </w:numPr>
        <w:jc w:val="both"/>
        <w:rPr>
          <w:rFonts w:cstheme="majorHAnsi"/>
          <w:b/>
          <w:bCs/>
          <w:color w:val="auto"/>
          <w:sz w:val="22"/>
          <w:szCs w:val="22"/>
        </w:rPr>
      </w:pPr>
      <w:bookmarkStart w:id="12" w:name="_Toc58403973"/>
      <w:bookmarkEnd w:id="10"/>
      <w:bookmarkEnd w:id="11"/>
      <w:r w:rsidRPr="00B05B01">
        <w:rPr>
          <w:rFonts w:cstheme="majorHAnsi"/>
          <w:b/>
          <w:bCs/>
          <w:color w:val="auto"/>
          <w:sz w:val="22"/>
          <w:szCs w:val="22"/>
        </w:rPr>
        <w:t>BAIGIAMOSIOS NUOSTATOS</w:t>
      </w:r>
    </w:p>
    <w:p w14:paraId="5B51EA37" w14:textId="3243AF1D" w:rsidR="00E35952" w:rsidRPr="00B05B01" w:rsidRDefault="00E35952" w:rsidP="00591337">
      <w:pPr>
        <w:pStyle w:val="Default"/>
        <w:numPr>
          <w:ilvl w:val="1"/>
          <w:numId w:val="27"/>
        </w:numPr>
        <w:jc w:val="both"/>
        <w:rPr>
          <w:rFonts w:asciiTheme="majorHAnsi" w:hAnsiTheme="majorHAnsi" w:cstheme="majorHAnsi"/>
          <w:sz w:val="22"/>
          <w:szCs w:val="22"/>
        </w:rPr>
      </w:pPr>
      <w:r w:rsidRPr="00B05B01">
        <w:rPr>
          <w:rFonts w:asciiTheme="majorHAnsi" w:hAnsiTheme="majorHAnsi" w:cstheme="majorHAnsi"/>
          <w:sz w:val="22"/>
          <w:szCs w:val="22"/>
        </w:rPr>
        <w:t>Politika yra tvirtinama ar keičiama Bendrovės valdybos sprendimu.</w:t>
      </w:r>
    </w:p>
    <w:bookmarkEnd w:id="12"/>
    <w:p w14:paraId="2E73C42F" w14:textId="57F4AF8D" w:rsidR="00F336DD" w:rsidRPr="00B05B01" w:rsidRDefault="00F336DD" w:rsidP="00591337">
      <w:pPr>
        <w:pStyle w:val="Default"/>
        <w:numPr>
          <w:ilvl w:val="1"/>
          <w:numId w:val="27"/>
        </w:numPr>
        <w:ind w:left="284" w:firstLine="0"/>
        <w:jc w:val="both"/>
        <w:rPr>
          <w:rFonts w:asciiTheme="majorHAnsi" w:hAnsiTheme="majorHAnsi" w:cstheme="majorHAnsi"/>
          <w:sz w:val="22"/>
          <w:szCs w:val="22"/>
        </w:rPr>
      </w:pPr>
      <w:r w:rsidRPr="00B05B01">
        <w:rPr>
          <w:rFonts w:asciiTheme="majorHAnsi" w:hAnsiTheme="majorHAnsi" w:cstheme="majorHAnsi"/>
          <w:sz w:val="22"/>
          <w:szCs w:val="22"/>
        </w:rPr>
        <w:lastRenderedPageBreak/>
        <w:t xml:space="preserve">Visi esami ir naujai priimami Bendrovės darbuotojai </w:t>
      </w:r>
      <w:r w:rsidR="00AD5B59" w:rsidRPr="00B05B01">
        <w:rPr>
          <w:rFonts w:asciiTheme="majorHAnsi" w:hAnsiTheme="majorHAnsi" w:cstheme="majorHAnsi"/>
          <w:sz w:val="22"/>
          <w:szCs w:val="22"/>
        </w:rPr>
        <w:t xml:space="preserve">ir paskirti valdybos nariai </w:t>
      </w:r>
      <w:r w:rsidRPr="00B05B01">
        <w:rPr>
          <w:rFonts w:asciiTheme="majorHAnsi" w:hAnsiTheme="majorHAnsi" w:cstheme="majorHAnsi"/>
          <w:sz w:val="22"/>
          <w:szCs w:val="22"/>
        </w:rPr>
        <w:t>privalo susipažinti su Politika ir vadovautis joje įtvirtint</w:t>
      </w:r>
      <w:r w:rsidR="00AD5B59" w:rsidRPr="00B05B01">
        <w:rPr>
          <w:rFonts w:asciiTheme="majorHAnsi" w:hAnsiTheme="majorHAnsi" w:cstheme="majorHAnsi"/>
          <w:sz w:val="22"/>
          <w:szCs w:val="22"/>
        </w:rPr>
        <w:t>omis</w:t>
      </w:r>
      <w:r w:rsidRPr="00B05B01">
        <w:rPr>
          <w:rFonts w:asciiTheme="majorHAnsi" w:hAnsiTheme="majorHAnsi" w:cstheme="majorHAnsi"/>
          <w:sz w:val="22"/>
          <w:szCs w:val="22"/>
        </w:rPr>
        <w:t xml:space="preserve"> nuostat</w:t>
      </w:r>
      <w:r w:rsidR="00AD5B59" w:rsidRPr="00B05B01">
        <w:rPr>
          <w:rFonts w:asciiTheme="majorHAnsi" w:hAnsiTheme="majorHAnsi" w:cstheme="majorHAnsi"/>
          <w:sz w:val="22"/>
          <w:szCs w:val="22"/>
        </w:rPr>
        <w:t>omis</w:t>
      </w:r>
      <w:r w:rsidRPr="00B05B01">
        <w:rPr>
          <w:rFonts w:asciiTheme="majorHAnsi" w:hAnsiTheme="majorHAnsi" w:cstheme="majorHAnsi"/>
          <w:sz w:val="22"/>
          <w:szCs w:val="22"/>
        </w:rPr>
        <w:t>.</w:t>
      </w:r>
    </w:p>
    <w:p w14:paraId="2A3A176B" w14:textId="413FE184" w:rsidR="00F336DD" w:rsidRPr="00B05B01" w:rsidRDefault="00F336DD" w:rsidP="00591337">
      <w:pPr>
        <w:pStyle w:val="Default"/>
        <w:numPr>
          <w:ilvl w:val="1"/>
          <w:numId w:val="27"/>
        </w:numPr>
        <w:ind w:left="284" w:firstLine="0"/>
        <w:jc w:val="both"/>
        <w:rPr>
          <w:rFonts w:asciiTheme="majorHAnsi" w:hAnsiTheme="majorHAnsi" w:cstheme="majorHAnsi"/>
          <w:sz w:val="22"/>
          <w:szCs w:val="22"/>
        </w:rPr>
      </w:pPr>
      <w:r w:rsidRPr="00B05B01">
        <w:rPr>
          <w:rFonts w:asciiTheme="majorHAnsi" w:hAnsiTheme="majorHAnsi" w:cstheme="majorHAnsi"/>
          <w:sz w:val="22"/>
          <w:szCs w:val="22"/>
        </w:rPr>
        <w:t>Asmenys, atstovaujantys Bendrovės interesams ar veikiantys Bendrovės vardu, nors nėra Bendrovės darbuotojai, taip pat privalo būti supažindinti su Politika ir įsipareigoti laikytis joje įtvirtintų nuostatų.</w:t>
      </w:r>
    </w:p>
    <w:p w14:paraId="6CEC98C9" w14:textId="3C3033B1" w:rsidR="00F336DD" w:rsidRPr="00B05B01" w:rsidRDefault="00F336DD" w:rsidP="00591337">
      <w:pPr>
        <w:pStyle w:val="Default"/>
        <w:numPr>
          <w:ilvl w:val="1"/>
          <w:numId w:val="27"/>
        </w:numPr>
        <w:jc w:val="both"/>
        <w:rPr>
          <w:rFonts w:asciiTheme="majorHAnsi" w:hAnsiTheme="majorHAnsi" w:cstheme="majorHAnsi"/>
          <w:sz w:val="22"/>
          <w:szCs w:val="22"/>
        </w:rPr>
      </w:pPr>
      <w:r w:rsidRPr="00B05B01">
        <w:rPr>
          <w:rFonts w:asciiTheme="majorHAnsi" w:hAnsiTheme="majorHAnsi" w:cstheme="majorHAnsi"/>
          <w:sz w:val="22"/>
          <w:szCs w:val="22"/>
        </w:rPr>
        <w:t xml:space="preserve">Politika turi būti peržiūrima ne rečiau negu 1 (vieną) kartą per 3 (trejus) kalendorinius metus. </w:t>
      </w:r>
    </w:p>
    <w:p w14:paraId="4CC10978" w14:textId="77777777" w:rsidR="005E1FC1" w:rsidRPr="00B05B01" w:rsidRDefault="00F336DD" w:rsidP="005E1FC1">
      <w:pPr>
        <w:pStyle w:val="Default"/>
        <w:numPr>
          <w:ilvl w:val="1"/>
          <w:numId w:val="27"/>
        </w:numPr>
        <w:tabs>
          <w:tab w:val="left" w:pos="1134"/>
        </w:tabs>
        <w:rPr>
          <w:rFonts w:asciiTheme="majorHAnsi" w:hAnsiTheme="majorHAnsi" w:cstheme="majorHAnsi"/>
          <w:sz w:val="22"/>
          <w:szCs w:val="22"/>
        </w:rPr>
      </w:pPr>
      <w:r w:rsidRPr="00B05B01">
        <w:rPr>
          <w:rFonts w:asciiTheme="majorHAnsi" w:hAnsiTheme="majorHAnsi" w:cstheme="majorHAnsi"/>
          <w:sz w:val="22"/>
          <w:szCs w:val="22"/>
        </w:rPr>
        <w:t xml:space="preserve">Politika skelbiama </w:t>
      </w:r>
      <w:r w:rsidR="005E1FC1" w:rsidRPr="00B05B01">
        <w:rPr>
          <w:rFonts w:asciiTheme="majorHAnsi" w:hAnsiTheme="majorHAnsi" w:cstheme="majorHAnsi"/>
          <w:sz w:val="22"/>
          <w:szCs w:val="22"/>
        </w:rPr>
        <w:t xml:space="preserve">Bendrovės interneto svetainėje adresu </w:t>
      </w:r>
      <w:hyperlink r:id="rId23" w:history="1">
        <w:r w:rsidR="005E1FC1" w:rsidRPr="00B05B01">
          <w:rPr>
            <w:rStyle w:val="Hyperlink"/>
            <w:rFonts w:asciiTheme="majorHAnsi" w:hAnsiTheme="majorHAnsi" w:cstheme="majorHAnsi"/>
            <w:sz w:val="22"/>
            <w:szCs w:val="22"/>
          </w:rPr>
          <w:t>www.vv.lt</w:t>
        </w:r>
      </w:hyperlink>
      <w:r w:rsidR="005E1FC1" w:rsidRPr="00B05B01">
        <w:rPr>
          <w:rFonts w:asciiTheme="majorHAnsi" w:hAnsiTheme="majorHAnsi" w:cstheme="majorHAnsi"/>
          <w:sz w:val="22"/>
          <w:szCs w:val="22"/>
        </w:rPr>
        <w:t xml:space="preserve">. </w:t>
      </w:r>
    </w:p>
    <w:p w14:paraId="507FA382" w14:textId="637FB962" w:rsidR="00F336DD" w:rsidRPr="00591337" w:rsidRDefault="00F336DD" w:rsidP="00591337">
      <w:pPr>
        <w:pStyle w:val="Default"/>
        <w:tabs>
          <w:tab w:val="left" w:pos="1134"/>
        </w:tabs>
        <w:ind w:left="644"/>
        <w:jc w:val="both"/>
        <w:rPr>
          <w:rFonts w:asciiTheme="majorHAnsi" w:hAnsiTheme="majorHAnsi" w:cstheme="majorHAnsi"/>
          <w:sz w:val="22"/>
          <w:szCs w:val="22"/>
        </w:rPr>
      </w:pPr>
      <w:r w:rsidRPr="00B05B01">
        <w:rPr>
          <w:rFonts w:asciiTheme="majorHAnsi" w:hAnsiTheme="majorHAnsi" w:cstheme="majorHAnsi"/>
          <w:sz w:val="22"/>
          <w:szCs w:val="22"/>
        </w:rPr>
        <w:t xml:space="preserve"> </w:t>
      </w:r>
    </w:p>
    <w:p w14:paraId="5317FDA9" w14:textId="77777777" w:rsidR="00E17678" w:rsidRPr="00B05B01" w:rsidRDefault="00E17678" w:rsidP="00E17678">
      <w:pPr>
        <w:tabs>
          <w:tab w:val="left" w:pos="1134"/>
        </w:tabs>
        <w:spacing w:after="0" w:line="240" w:lineRule="auto"/>
        <w:ind w:left="1134" w:hanging="567"/>
        <w:jc w:val="both"/>
        <w:rPr>
          <w:rFonts w:asciiTheme="majorHAnsi" w:hAnsiTheme="majorHAnsi" w:cstheme="majorHAnsi"/>
          <w:lang w:val="lt-LT"/>
        </w:rPr>
      </w:pPr>
    </w:p>
    <w:sectPr w:rsidR="00E17678" w:rsidRPr="00B05B01" w:rsidSect="00591337">
      <w:headerReference w:type="default" r:id="rId24"/>
      <w:pgSz w:w="12240" w:h="15840"/>
      <w:pgMar w:top="1134" w:right="567" w:bottom="1134" w:left="1701" w:header="567"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0229" w14:textId="77777777" w:rsidR="006755B7" w:rsidRDefault="006755B7" w:rsidP="00670EAB">
      <w:pPr>
        <w:spacing w:after="0" w:line="240" w:lineRule="auto"/>
      </w:pPr>
      <w:r>
        <w:separator/>
      </w:r>
    </w:p>
  </w:endnote>
  <w:endnote w:type="continuationSeparator" w:id="0">
    <w:p w14:paraId="0A89A441" w14:textId="77777777" w:rsidR="006755B7" w:rsidRDefault="006755B7" w:rsidP="0067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BA6D" w14:textId="77777777" w:rsidR="006755B7" w:rsidRDefault="006755B7" w:rsidP="00670EAB">
      <w:pPr>
        <w:spacing w:after="0" w:line="240" w:lineRule="auto"/>
      </w:pPr>
      <w:r>
        <w:separator/>
      </w:r>
    </w:p>
  </w:footnote>
  <w:footnote w:type="continuationSeparator" w:id="0">
    <w:p w14:paraId="01128AB5" w14:textId="77777777" w:rsidR="006755B7" w:rsidRDefault="006755B7" w:rsidP="0067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CE5" w14:textId="77777777" w:rsidR="00D3262F" w:rsidRDefault="00D3262F" w:rsidP="00D3262F">
    <w:pPr>
      <w:pStyle w:val="Header"/>
      <w:jc w:val="right"/>
    </w:pPr>
  </w:p>
  <w:tbl>
    <w:tblPr>
      <w:tblW w:w="994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hemeFill="background2"/>
      <w:tblLook w:val="04A0" w:firstRow="1" w:lastRow="0" w:firstColumn="1" w:lastColumn="0" w:noHBand="0" w:noVBand="1"/>
    </w:tblPr>
    <w:tblGrid>
      <w:gridCol w:w="2410"/>
      <w:gridCol w:w="1147"/>
      <w:gridCol w:w="412"/>
      <w:gridCol w:w="2410"/>
      <w:gridCol w:w="2079"/>
      <w:gridCol w:w="899"/>
      <w:gridCol w:w="590"/>
    </w:tblGrid>
    <w:tr w:rsidR="001C79F8" w:rsidRPr="0045064B" w14:paraId="6D5D5269" w14:textId="77777777" w:rsidTr="00FE1F47">
      <w:trPr>
        <w:trHeight w:val="491"/>
      </w:trPr>
      <w:tc>
        <w:tcPr>
          <w:tcW w:w="2410" w:type="dxa"/>
          <w:shd w:val="clear" w:color="auto" w:fill="D9D9D9" w:themeFill="background1" w:themeFillShade="D9"/>
        </w:tcPr>
        <w:p w14:paraId="54F18915" w14:textId="77777777" w:rsidR="00EA7A32" w:rsidRPr="0045064B" w:rsidRDefault="00EA7A32" w:rsidP="00D3262F">
          <w:pPr>
            <w:spacing w:after="0"/>
            <w:jc w:val="center"/>
            <w:rPr>
              <w:rFonts w:ascii="Calibri" w:hAnsi="Calibri"/>
              <w:b/>
              <w:sz w:val="16"/>
              <w:szCs w:val="16"/>
              <w:lang w:val="lt-LT"/>
            </w:rPr>
          </w:pPr>
          <w:r w:rsidRPr="0045064B">
            <w:rPr>
              <w:rFonts w:ascii="Calibri" w:hAnsi="Calibri"/>
              <w:b/>
              <w:sz w:val="16"/>
              <w:szCs w:val="16"/>
              <w:lang w:val="lt-LT"/>
            </w:rPr>
            <w:t xml:space="preserve">Norminis </w:t>
          </w:r>
          <w:r>
            <w:rPr>
              <w:rFonts w:ascii="Calibri" w:hAnsi="Calibri"/>
              <w:b/>
              <w:sz w:val="16"/>
              <w:szCs w:val="16"/>
              <w:lang w:val="lt-LT"/>
            </w:rPr>
            <w:t xml:space="preserve">vidaus </w:t>
          </w:r>
          <w:r w:rsidRPr="0045064B">
            <w:rPr>
              <w:rFonts w:ascii="Calibri" w:hAnsi="Calibri"/>
              <w:b/>
              <w:sz w:val="16"/>
              <w:szCs w:val="16"/>
              <w:lang w:val="lt-LT"/>
            </w:rPr>
            <w:t>teisės aktas</w:t>
          </w:r>
        </w:p>
      </w:tc>
      <w:tc>
        <w:tcPr>
          <w:tcW w:w="1559" w:type="dxa"/>
          <w:gridSpan w:val="2"/>
          <w:shd w:val="clear" w:color="auto" w:fill="D9D9D9" w:themeFill="background1" w:themeFillShade="D9"/>
        </w:tcPr>
        <w:p w14:paraId="5124CC56" w14:textId="77777777" w:rsidR="00EA7A32" w:rsidRPr="0045064B" w:rsidRDefault="00EA7A32" w:rsidP="00D3262F">
          <w:pPr>
            <w:spacing w:after="0"/>
            <w:jc w:val="center"/>
            <w:rPr>
              <w:rFonts w:ascii="Calibri" w:hAnsi="Calibri"/>
              <w:b/>
              <w:sz w:val="16"/>
              <w:szCs w:val="16"/>
              <w:lang w:val="lt-LT"/>
            </w:rPr>
          </w:pPr>
          <w:r>
            <w:rPr>
              <w:rFonts w:ascii="Calibri" w:hAnsi="Calibri"/>
              <w:b/>
              <w:sz w:val="16"/>
              <w:szCs w:val="16"/>
              <w:lang w:val="lt-LT"/>
            </w:rPr>
            <w:t>S</w:t>
          </w:r>
          <w:r w:rsidRPr="0045064B">
            <w:rPr>
              <w:rFonts w:ascii="Calibri" w:hAnsi="Calibri"/>
              <w:b/>
              <w:sz w:val="16"/>
              <w:szCs w:val="16"/>
              <w:lang w:val="lt-LT"/>
            </w:rPr>
            <w:t>avininkas</w:t>
          </w:r>
        </w:p>
      </w:tc>
      <w:tc>
        <w:tcPr>
          <w:tcW w:w="2410" w:type="dxa"/>
          <w:shd w:val="clear" w:color="auto" w:fill="D9D9D9" w:themeFill="background1" w:themeFillShade="D9"/>
        </w:tcPr>
        <w:p w14:paraId="1A431E0D" w14:textId="77777777" w:rsidR="00AA4ABD" w:rsidRDefault="00EA7A32" w:rsidP="00D3262F">
          <w:pPr>
            <w:spacing w:after="0"/>
            <w:jc w:val="center"/>
            <w:rPr>
              <w:rFonts w:ascii="Calibri" w:hAnsi="Calibri"/>
              <w:b/>
              <w:noProof/>
              <w:sz w:val="16"/>
              <w:szCs w:val="16"/>
              <w:lang w:val="lt-LT"/>
            </w:rPr>
          </w:pPr>
          <w:r w:rsidRPr="00EA7A32">
            <w:rPr>
              <w:rFonts w:ascii="Calibri" w:hAnsi="Calibri"/>
              <w:b/>
              <w:noProof/>
              <w:sz w:val="16"/>
              <w:szCs w:val="16"/>
              <w:lang w:val="lt-LT"/>
            </w:rPr>
            <w:t xml:space="preserve">Galiojanti redakcija </w:t>
          </w:r>
        </w:p>
        <w:p w14:paraId="6F545E54" w14:textId="0DA551E3" w:rsidR="00EA7A32" w:rsidRDefault="00EA7A32" w:rsidP="00D3262F">
          <w:pPr>
            <w:spacing w:after="0"/>
            <w:jc w:val="center"/>
            <w:rPr>
              <w:rFonts w:ascii="Calibri" w:hAnsi="Calibri"/>
              <w:b/>
              <w:noProof/>
              <w:sz w:val="16"/>
              <w:szCs w:val="16"/>
              <w:lang w:val="lt-LT"/>
            </w:rPr>
          </w:pPr>
          <w:r w:rsidRPr="00EA7A32">
            <w:rPr>
              <w:rFonts w:ascii="Calibri" w:hAnsi="Calibri"/>
              <w:b/>
              <w:noProof/>
              <w:sz w:val="16"/>
              <w:szCs w:val="16"/>
              <w:lang w:val="lt-LT"/>
            </w:rPr>
            <w:t>patvirtinimo data ir Nr.</w:t>
          </w:r>
        </w:p>
      </w:tc>
      <w:tc>
        <w:tcPr>
          <w:tcW w:w="2079" w:type="dxa"/>
          <w:shd w:val="clear" w:color="auto" w:fill="D9D9D9" w:themeFill="background1" w:themeFillShade="D9"/>
        </w:tcPr>
        <w:p w14:paraId="0BBFD3B1" w14:textId="24C7979E" w:rsidR="00EA7A32" w:rsidRPr="0045064B" w:rsidRDefault="00EA7A32" w:rsidP="00D3262F">
          <w:pPr>
            <w:spacing w:after="0"/>
            <w:jc w:val="center"/>
            <w:rPr>
              <w:rFonts w:ascii="Calibri" w:hAnsi="Calibri"/>
              <w:b/>
              <w:sz w:val="16"/>
              <w:szCs w:val="16"/>
              <w:lang w:val="lt-LT"/>
            </w:rPr>
          </w:pPr>
          <w:r>
            <w:rPr>
              <w:rFonts w:ascii="Calibri" w:hAnsi="Calibri"/>
              <w:b/>
              <w:sz w:val="16"/>
              <w:szCs w:val="16"/>
              <w:lang w:val="lt-LT"/>
            </w:rPr>
            <w:t>P</w:t>
          </w:r>
          <w:r w:rsidR="00AA4ABD">
            <w:rPr>
              <w:rFonts w:ascii="Calibri" w:hAnsi="Calibri"/>
              <w:b/>
              <w:sz w:val="16"/>
              <w:szCs w:val="16"/>
              <w:lang w:val="lt-LT"/>
            </w:rPr>
            <w:t xml:space="preserve">olitikos sukūrimo </w:t>
          </w:r>
          <w:r w:rsidRPr="0045064B">
            <w:rPr>
              <w:rFonts w:ascii="Calibri" w:hAnsi="Calibri"/>
              <w:b/>
              <w:sz w:val="16"/>
              <w:szCs w:val="16"/>
              <w:lang w:val="lt-LT"/>
            </w:rPr>
            <w:t xml:space="preserve">data </w:t>
          </w:r>
          <w:r>
            <w:rPr>
              <w:rFonts w:ascii="Calibri" w:hAnsi="Calibri"/>
              <w:b/>
              <w:sz w:val="16"/>
              <w:szCs w:val="16"/>
              <w:lang w:val="lt-LT"/>
            </w:rPr>
            <w:t>ir Nr.</w:t>
          </w:r>
        </w:p>
      </w:tc>
      <w:tc>
        <w:tcPr>
          <w:tcW w:w="899" w:type="dxa"/>
          <w:shd w:val="clear" w:color="auto" w:fill="D9D9D9" w:themeFill="background1" w:themeFillShade="D9"/>
        </w:tcPr>
        <w:p w14:paraId="5928D59C" w14:textId="77777777" w:rsidR="00EA7A32" w:rsidRPr="0045064B" w:rsidRDefault="00EA7A32" w:rsidP="00D3262F">
          <w:pPr>
            <w:spacing w:after="0"/>
            <w:jc w:val="center"/>
            <w:rPr>
              <w:rFonts w:ascii="Calibri" w:hAnsi="Calibri"/>
              <w:b/>
              <w:sz w:val="16"/>
              <w:szCs w:val="16"/>
              <w:lang w:val="lt-LT"/>
            </w:rPr>
          </w:pPr>
          <w:r w:rsidRPr="0045064B">
            <w:rPr>
              <w:rFonts w:ascii="Calibri" w:hAnsi="Calibri"/>
              <w:b/>
              <w:sz w:val="16"/>
              <w:szCs w:val="16"/>
              <w:lang w:val="lt-LT"/>
            </w:rPr>
            <w:t xml:space="preserve">Statusas </w:t>
          </w:r>
        </w:p>
      </w:tc>
      <w:tc>
        <w:tcPr>
          <w:tcW w:w="590" w:type="dxa"/>
          <w:shd w:val="clear" w:color="auto" w:fill="D9D9D9" w:themeFill="background1" w:themeFillShade="D9"/>
        </w:tcPr>
        <w:p w14:paraId="0E97B73D" w14:textId="77777777" w:rsidR="00EA7A32" w:rsidRPr="0045064B" w:rsidRDefault="00EA7A32" w:rsidP="00D3262F">
          <w:pPr>
            <w:spacing w:after="0"/>
            <w:jc w:val="center"/>
            <w:rPr>
              <w:rFonts w:ascii="Calibri" w:hAnsi="Calibri" w:cs="Calibri"/>
              <w:b/>
              <w:sz w:val="16"/>
              <w:szCs w:val="16"/>
              <w:lang w:val="lt-LT"/>
            </w:rPr>
          </w:pPr>
          <w:r w:rsidRPr="0045064B">
            <w:rPr>
              <w:rFonts w:ascii="Calibri" w:hAnsi="Calibri" w:cs="Calibri"/>
              <w:b/>
              <w:sz w:val="16"/>
              <w:szCs w:val="16"/>
              <w:lang w:val="lt-LT"/>
            </w:rPr>
            <w:t>Psl.</w:t>
          </w:r>
        </w:p>
      </w:tc>
    </w:tr>
    <w:tr w:rsidR="001C79F8" w:rsidRPr="008A37AD" w14:paraId="15262112" w14:textId="77777777" w:rsidTr="00FE1F47">
      <w:trPr>
        <w:trHeight w:val="206"/>
      </w:trPr>
      <w:tc>
        <w:tcPr>
          <w:tcW w:w="2410" w:type="dxa"/>
          <w:shd w:val="clear" w:color="auto" w:fill="D9D9D9" w:themeFill="background1" w:themeFillShade="D9"/>
        </w:tcPr>
        <w:p w14:paraId="302F6947" w14:textId="2104C2D6" w:rsidR="00EA7A32" w:rsidRPr="008A37AD" w:rsidRDefault="00003A52" w:rsidP="00D3262F">
          <w:pPr>
            <w:spacing w:after="0"/>
            <w:ind w:left="-110"/>
            <w:jc w:val="center"/>
            <w:rPr>
              <w:rFonts w:ascii="Calibri" w:hAnsi="Calibri" w:cs="Calibri"/>
              <w:sz w:val="16"/>
              <w:szCs w:val="16"/>
              <w:lang w:val="lt-LT"/>
            </w:rPr>
          </w:pPr>
          <w:r w:rsidRPr="00003A52">
            <w:rPr>
              <w:rFonts w:ascii="Calibri" w:hAnsi="Calibri" w:cs="Calibri"/>
              <w:sz w:val="16"/>
              <w:szCs w:val="16"/>
              <w:lang w:val="lt-LT"/>
            </w:rPr>
            <w:t>Uždarosios akcinės bendrovės „Vilniaus vandenys“ korupcijai atsparios aplinkos kūrimo politika</w:t>
          </w:r>
        </w:p>
      </w:tc>
      <w:tc>
        <w:tcPr>
          <w:tcW w:w="1147" w:type="dxa"/>
          <w:shd w:val="clear" w:color="auto" w:fill="D9D9D9" w:themeFill="background1" w:themeFillShade="D9"/>
        </w:tcPr>
        <w:p w14:paraId="25E68842" w14:textId="6079114F" w:rsidR="00EA7A32" w:rsidRPr="008A37AD" w:rsidRDefault="00EA7A32" w:rsidP="00D3262F">
          <w:pPr>
            <w:spacing w:after="0"/>
            <w:jc w:val="center"/>
            <w:rPr>
              <w:rFonts w:ascii="Calibri" w:hAnsi="Calibri"/>
              <w:sz w:val="16"/>
              <w:szCs w:val="16"/>
              <w:lang w:val="lt-LT"/>
            </w:rPr>
          </w:pPr>
          <w:r>
            <w:rPr>
              <w:rFonts w:ascii="Calibri" w:hAnsi="Calibri"/>
              <w:sz w:val="16"/>
              <w:szCs w:val="16"/>
              <w:lang w:val="lt-LT"/>
            </w:rPr>
            <w:t>Veiklos atsparumo skyri</w:t>
          </w:r>
          <w:r w:rsidR="00003A52">
            <w:rPr>
              <w:rFonts w:ascii="Calibri" w:hAnsi="Calibri"/>
              <w:sz w:val="16"/>
              <w:szCs w:val="16"/>
              <w:lang w:val="lt-LT"/>
            </w:rPr>
            <w:t>a</w:t>
          </w:r>
          <w:r>
            <w:rPr>
              <w:rFonts w:ascii="Calibri" w:hAnsi="Calibri"/>
              <w:sz w:val="16"/>
              <w:szCs w:val="16"/>
              <w:lang w:val="lt-LT"/>
            </w:rPr>
            <w:t>us</w:t>
          </w:r>
          <w:r w:rsidR="00003A52">
            <w:rPr>
              <w:rFonts w:ascii="Calibri" w:hAnsi="Calibri"/>
              <w:sz w:val="16"/>
              <w:szCs w:val="16"/>
              <w:lang w:val="lt-LT"/>
            </w:rPr>
            <w:t xml:space="preserve"> vadovas</w:t>
          </w:r>
        </w:p>
      </w:tc>
      <w:tc>
        <w:tcPr>
          <w:tcW w:w="2822" w:type="dxa"/>
          <w:gridSpan w:val="2"/>
          <w:shd w:val="clear" w:color="auto" w:fill="D9D9D9" w:themeFill="background1" w:themeFillShade="D9"/>
        </w:tcPr>
        <w:p w14:paraId="135EBBF9" w14:textId="3834EECB" w:rsidR="00EA7A32" w:rsidRPr="00372024" w:rsidRDefault="00EA7A32" w:rsidP="00CB5A9F">
          <w:pPr>
            <w:spacing w:after="0"/>
            <w:jc w:val="center"/>
            <w:rPr>
              <w:rFonts w:ascii="Calibri" w:hAnsi="Calibri"/>
              <w:sz w:val="16"/>
              <w:szCs w:val="16"/>
              <w:lang w:val="lt-LT"/>
            </w:rPr>
          </w:pPr>
          <w:r w:rsidRPr="00372024">
            <w:rPr>
              <w:rFonts w:ascii="Calibri" w:hAnsi="Calibri"/>
              <w:sz w:val="16"/>
              <w:szCs w:val="16"/>
              <w:lang w:val="lt-LT"/>
            </w:rPr>
            <w:t>202</w:t>
          </w:r>
          <w:r w:rsidR="00AF2033">
            <w:rPr>
              <w:rFonts w:ascii="Calibri" w:hAnsi="Calibri"/>
              <w:sz w:val="16"/>
              <w:szCs w:val="16"/>
              <w:lang w:val="lt-LT"/>
            </w:rPr>
            <w:t>5-10-21</w:t>
          </w:r>
          <w:r w:rsidRPr="00372024">
            <w:rPr>
              <w:rFonts w:ascii="Calibri" w:hAnsi="Calibri"/>
              <w:sz w:val="16"/>
              <w:szCs w:val="16"/>
              <w:lang w:val="lt-LT"/>
            </w:rPr>
            <w:t xml:space="preserve"> </w:t>
          </w:r>
          <w:r>
            <w:rPr>
              <w:rFonts w:ascii="Calibri" w:hAnsi="Calibri"/>
              <w:sz w:val="16"/>
              <w:szCs w:val="16"/>
              <w:lang w:val="lt-LT"/>
            </w:rPr>
            <w:t xml:space="preserve">Valdybos posėdžio protokolas </w:t>
          </w:r>
          <w:r w:rsidRPr="00372024">
            <w:rPr>
              <w:rFonts w:ascii="Calibri" w:hAnsi="Calibri"/>
              <w:sz w:val="16"/>
              <w:szCs w:val="16"/>
              <w:lang w:val="lt-LT"/>
            </w:rPr>
            <w:t>Nr. PR-</w:t>
          </w:r>
          <w:r>
            <w:rPr>
              <w:rFonts w:ascii="Calibri" w:hAnsi="Calibri"/>
              <w:sz w:val="16"/>
              <w:szCs w:val="16"/>
              <w:lang w:val="lt-LT"/>
            </w:rPr>
            <w:t>V2</w:t>
          </w:r>
          <w:r w:rsidR="00AF2033">
            <w:rPr>
              <w:rFonts w:ascii="Calibri" w:hAnsi="Calibri"/>
              <w:sz w:val="16"/>
              <w:szCs w:val="16"/>
              <w:lang w:val="lt-LT"/>
            </w:rPr>
            <w:t>5</w:t>
          </w:r>
          <w:r w:rsidRPr="007F1C51">
            <w:rPr>
              <w:rFonts w:ascii="Calibri" w:hAnsi="Calibri"/>
              <w:sz w:val="16"/>
              <w:szCs w:val="16"/>
              <w:lang w:val="lt-LT"/>
            </w:rPr>
            <w:t>-</w:t>
          </w:r>
          <w:r w:rsidR="0037171A" w:rsidRPr="007F1C51">
            <w:rPr>
              <w:rFonts w:ascii="Calibri" w:hAnsi="Calibri"/>
              <w:sz w:val="16"/>
              <w:szCs w:val="16"/>
              <w:lang w:val="lt-LT"/>
            </w:rPr>
            <w:t>15</w:t>
          </w:r>
        </w:p>
      </w:tc>
      <w:tc>
        <w:tcPr>
          <w:tcW w:w="2079" w:type="dxa"/>
          <w:shd w:val="clear" w:color="auto" w:fill="D9D9D9" w:themeFill="background1" w:themeFillShade="D9"/>
        </w:tcPr>
        <w:p w14:paraId="1806200D" w14:textId="5944DCDA" w:rsidR="00EA7A32" w:rsidRPr="006D15DD" w:rsidRDefault="00EA7A32" w:rsidP="00CB5A9F">
          <w:pPr>
            <w:spacing w:after="0"/>
            <w:jc w:val="center"/>
            <w:rPr>
              <w:rFonts w:ascii="Calibri" w:hAnsi="Calibri"/>
              <w:sz w:val="16"/>
              <w:szCs w:val="16"/>
              <w:highlight w:val="yellow"/>
            </w:rPr>
          </w:pPr>
          <w:r w:rsidRPr="00372024">
            <w:rPr>
              <w:rFonts w:ascii="Calibri" w:hAnsi="Calibri"/>
              <w:sz w:val="16"/>
              <w:szCs w:val="16"/>
              <w:lang w:val="lt-LT"/>
            </w:rPr>
            <w:t>202</w:t>
          </w:r>
          <w:r>
            <w:rPr>
              <w:rFonts w:ascii="Calibri" w:hAnsi="Calibri"/>
              <w:sz w:val="16"/>
              <w:szCs w:val="16"/>
              <w:lang w:val="lt-LT"/>
            </w:rPr>
            <w:t>0</w:t>
          </w:r>
          <w:r w:rsidRPr="00372024">
            <w:rPr>
              <w:rFonts w:ascii="Calibri" w:hAnsi="Calibri"/>
              <w:sz w:val="16"/>
              <w:szCs w:val="16"/>
              <w:lang w:val="lt-LT"/>
            </w:rPr>
            <w:t>-</w:t>
          </w:r>
          <w:r>
            <w:rPr>
              <w:rFonts w:ascii="Calibri" w:hAnsi="Calibri"/>
              <w:sz w:val="16"/>
              <w:szCs w:val="16"/>
              <w:lang w:val="lt-LT"/>
            </w:rPr>
            <w:t>12</w:t>
          </w:r>
          <w:r w:rsidRPr="00372024">
            <w:rPr>
              <w:rFonts w:ascii="Calibri" w:hAnsi="Calibri"/>
              <w:sz w:val="16"/>
              <w:szCs w:val="16"/>
              <w:lang w:val="lt-LT"/>
            </w:rPr>
            <w:t>-</w:t>
          </w:r>
          <w:r>
            <w:rPr>
              <w:rFonts w:ascii="Calibri" w:hAnsi="Calibri"/>
              <w:sz w:val="16"/>
              <w:szCs w:val="16"/>
              <w:lang w:val="lt-LT"/>
            </w:rPr>
            <w:t>16</w:t>
          </w:r>
          <w:r w:rsidRPr="00372024">
            <w:rPr>
              <w:rFonts w:ascii="Calibri" w:hAnsi="Calibri"/>
              <w:sz w:val="16"/>
              <w:szCs w:val="16"/>
              <w:lang w:val="lt-LT"/>
            </w:rPr>
            <w:t xml:space="preserve"> </w:t>
          </w:r>
          <w:r>
            <w:rPr>
              <w:rFonts w:ascii="Calibri" w:hAnsi="Calibri"/>
              <w:sz w:val="16"/>
              <w:szCs w:val="16"/>
              <w:lang w:val="lt-LT"/>
            </w:rPr>
            <w:t xml:space="preserve">Valdybos posėdžio protokolas </w:t>
          </w:r>
          <w:r w:rsidRPr="00372024">
            <w:rPr>
              <w:rFonts w:ascii="Calibri" w:hAnsi="Calibri"/>
              <w:sz w:val="16"/>
              <w:szCs w:val="16"/>
              <w:lang w:val="lt-LT"/>
            </w:rPr>
            <w:t xml:space="preserve">Nr. </w:t>
          </w:r>
          <w:r>
            <w:rPr>
              <w:rFonts w:ascii="Calibri" w:hAnsi="Calibri"/>
              <w:sz w:val="16"/>
              <w:szCs w:val="16"/>
              <w:lang w:val="lt-LT"/>
            </w:rPr>
            <w:t>15</w:t>
          </w:r>
        </w:p>
      </w:tc>
      <w:tc>
        <w:tcPr>
          <w:tcW w:w="899" w:type="dxa"/>
          <w:shd w:val="clear" w:color="auto" w:fill="D9D9D9" w:themeFill="background1" w:themeFillShade="D9"/>
        </w:tcPr>
        <w:p w14:paraId="3E083E8E" w14:textId="08E5A056" w:rsidR="00EA7A32" w:rsidRPr="00F57961" w:rsidRDefault="00EA7A32" w:rsidP="00D3262F">
          <w:pPr>
            <w:spacing w:after="0"/>
            <w:jc w:val="center"/>
            <w:rPr>
              <w:rFonts w:ascii="Calibri" w:hAnsi="Calibri"/>
              <w:sz w:val="16"/>
              <w:szCs w:val="16"/>
              <w:highlight w:val="yellow"/>
              <w:lang w:val="lt-LT"/>
            </w:rPr>
          </w:pPr>
          <w:r w:rsidRPr="00CB5A9F">
            <w:rPr>
              <w:rFonts w:ascii="Calibri" w:hAnsi="Calibri"/>
              <w:sz w:val="16"/>
              <w:szCs w:val="16"/>
              <w:highlight w:val="lightGray"/>
              <w:lang w:val="lt-LT"/>
            </w:rPr>
            <w:t>Patvirtinta</w:t>
          </w:r>
        </w:p>
      </w:tc>
      <w:tc>
        <w:tcPr>
          <w:tcW w:w="590" w:type="dxa"/>
          <w:shd w:val="clear" w:color="auto" w:fill="D9D9D9" w:themeFill="background1" w:themeFillShade="D9"/>
        </w:tcPr>
        <w:p w14:paraId="5D54B164" w14:textId="77777777" w:rsidR="00EA7A32" w:rsidRPr="008A37AD" w:rsidRDefault="00EA7A32" w:rsidP="00D3262F">
          <w:pPr>
            <w:spacing w:after="0"/>
            <w:jc w:val="center"/>
            <w:rPr>
              <w:rFonts w:ascii="Calibri" w:hAnsi="Calibri" w:cs="Calibri"/>
              <w:bCs/>
              <w:sz w:val="16"/>
              <w:szCs w:val="16"/>
              <w:lang w:val="lt-LT"/>
            </w:rPr>
          </w:pPr>
          <w:r w:rsidRPr="008A37AD">
            <w:rPr>
              <w:rFonts w:ascii="Calibri" w:hAnsi="Calibri" w:cs="Calibri"/>
              <w:bCs/>
              <w:sz w:val="16"/>
              <w:szCs w:val="16"/>
              <w:lang w:val="lt-LT"/>
            </w:rPr>
            <w:fldChar w:fldCharType="begin"/>
          </w:r>
          <w:r w:rsidRPr="008A37AD">
            <w:rPr>
              <w:rFonts w:ascii="Calibri" w:hAnsi="Calibri" w:cs="Calibri"/>
              <w:bCs/>
              <w:sz w:val="16"/>
              <w:szCs w:val="16"/>
              <w:lang w:val="lt-LT"/>
            </w:rPr>
            <w:instrText>PAGE</w:instrText>
          </w:r>
          <w:r w:rsidRPr="008A37AD">
            <w:rPr>
              <w:rFonts w:ascii="Calibri" w:hAnsi="Calibri" w:cs="Calibri"/>
              <w:bCs/>
              <w:sz w:val="16"/>
              <w:szCs w:val="16"/>
              <w:lang w:val="lt-LT"/>
            </w:rPr>
            <w:fldChar w:fldCharType="separate"/>
          </w:r>
          <w:r w:rsidRPr="008A37AD">
            <w:rPr>
              <w:rFonts w:ascii="Calibri" w:hAnsi="Calibri" w:cs="Calibri"/>
              <w:bCs/>
              <w:noProof/>
              <w:sz w:val="16"/>
              <w:szCs w:val="16"/>
              <w:lang w:val="lt-LT"/>
            </w:rPr>
            <w:t>8</w:t>
          </w:r>
          <w:r w:rsidRPr="008A37AD">
            <w:rPr>
              <w:rFonts w:ascii="Calibri" w:hAnsi="Calibri" w:cs="Calibri"/>
              <w:bCs/>
              <w:sz w:val="16"/>
              <w:szCs w:val="16"/>
              <w:lang w:val="lt-LT"/>
            </w:rPr>
            <w:fldChar w:fldCharType="end"/>
          </w:r>
          <w:r w:rsidRPr="008A37AD">
            <w:rPr>
              <w:rFonts w:ascii="Calibri" w:hAnsi="Calibri" w:cs="Calibri"/>
              <w:sz w:val="16"/>
              <w:szCs w:val="16"/>
              <w:lang w:val="lt-LT"/>
            </w:rPr>
            <w:t xml:space="preserve"> iš </w:t>
          </w:r>
          <w:r w:rsidRPr="008A37AD">
            <w:rPr>
              <w:rFonts w:ascii="Calibri" w:hAnsi="Calibri" w:cs="Calibri"/>
              <w:bCs/>
              <w:sz w:val="16"/>
              <w:szCs w:val="16"/>
              <w:lang w:val="lt-LT"/>
            </w:rPr>
            <w:fldChar w:fldCharType="begin"/>
          </w:r>
          <w:r w:rsidRPr="008A37AD">
            <w:rPr>
              <w:rFonts w:ascii="Calibri" w:hAnsi="Calibri" w:cs="Calibri"/>
              <w:bCs/>
              <w:sz w:val="16"/>
              <w:szCs w:val="16"/>
              <w:lang w:val="lt-LT"/>
            </w:rPr>
            <w:instrText>NUMPAGES</w:instrText>
          </w:r>
          <w:r w:rsidRPr="008A37AD">
            <w:rPr>
              <w:rFonts w:ascii="Calibri" w:hAnsi="Calibri" w:cs="Calibri"/>
              <w:bCs/>
              <w:sz w:val="16"/>
              <w:szCs w:val="16"/>
              <w:lang w:val="lt-LT"/>
            </w:rPr>
            <w:fldChar w:fldCharType="separate"/>
          </w:r>
          <w:r w:rsidRPr="008A37AD">
            <w:rPr>
              <w:rFonts w:ascii="Calibri" w:hAnsi="Calibri" w:cs="Calibri"/>
              <w:bCs/>
              <w:noProof/>
              <w:sz w:val="16"/>
              <w:szCs w:val="16"/>
              <w:lang w:val="lt-LT"/>
            </w:rPr>
            <w:t>8</w:t>
          </w:r>
          <w:r w:rsidRPr="008A37AD">
            <w:rPr>
              <w:rFonts w:ascii="Calibri" w:hAnsi="Calibri" w:cs="Calibri"/>
              <w:bCs/>
              <w:sz w:val="16"/>
              <w:szCs w:val="16"/>
              <w:lang w:val="lt-LT"/>
            </w:rPr>
            <w:fldChar w:fldCharType="end"/>
          </w:r>
          <w:r>
            <w:rPr>
              <w:rFonts w:ascii="Calibri" w:hAnsi="Calibri" w:cs="Calibri"/>
              <w:bCs/>
              <w:sz w:val="16"/>
              <w:szCs w:val="16"/>
              <w:lang w:val="lt-LT"/>
            </w:rPr>
            <w:t xml:space="preserve"> </w:t>
          </w:r>
        </w:p>
      </w:tc>
    </w:tr>
  </w:tbl>
  <w:p w14:paraId="57B1A41B" w14:textId="77777777" w:rsidR="00D3262F" w:rsidRPr="00D3262F" w:rsidRDefault="00D32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22D"/>
    <w:multiLevelType w:val="multilevel"/>
    <w:tmpl w:val="F454DB3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5553F5E"/>
    <w:multiLevelType w:val="hybridMultilevel"/>
    <w:tmpl w:val="0212B994"/>
    <w:lvl w:ilvl="0" w:tplc="29564DBE">
      <w:start w:val="3"/>
      <w:numFmt w:val="bullet"/>
      <w:lvlText w:val="-"/>
      <w:lvlJc w:val="left"/>
      <w:pPr>
        <w:ind w:left="405" w:hanging="360"/>
      </w:pPr>
      <w:rPr>
        <w:rFonts w:ascii="Calibri Light" w:eastAsiaTheme="minorHAnsi" w:hAnsi="Calibri Light" w:cs="Calibri Light"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05FD7A50"/>
    <w:multiLevelType w:val="multilevel"/>
    <w:tmpl w:val="5DC4B000"/>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DE42091"/>
    <w:multiLevelType w:val="hybridMultilevel"/>
    <w:tmpl w:val="6EB23B70"/>
    <w:lvl w:ilvl="0" w:tplc="2D8CE32A">
      <w:start w:val="1"/>
      <w:numFmt w:val="decimal"/>
      <w:lvlText w:val="%1."/>
      <w:lvlJc w:val="left"/>
      <w:pPr>
        <w:ind w:left="720" w:hanging="360"/>
      </w:pPr>
      <w:rPr>
        <w:rFonts w:hint="default"/>
        <w:color w:val="2F5496" w:themeColor="accent1" w:themeShade="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E944C6"/>
    <w:multiLevelType w:val="hybridMultilevel"/>
    <w:tmpl w:val="9F18DEE4"/>
    <w:lvl w:ilvl="0" w:tplc="A1D61A9E">
      <w:start w:val="1"/>
      <w:numFmt w:val="decimal"/>
      <w:lvlText w:val="%1"/>
      <w:lvlJc w:val="left"/>
      <w:pPr>
        <w:ind w:left="532" w:hanging="360"/>
      </w:pPr>
      <w:rPr>
        <w:rFonts w:hint="default"/>
      </w:rPr>
    </w:lvl>
    <w:lvl w:ilvl="1" w:tplc="04270019" w:tentative="1">
      <w:start w:val="1"/>
      <w:numFmt w:val="lowerLetter"/>
      <w:lvlText w:val="%2."/>
      <w:lvlJc w:val="left"/>
      <w:pPr>
        <w:ind w:left="1252" w:hanging="360"/>
      </w:pPr>
    </w:lvl>
    <w:lvl w:ilvl="2" w:tplc="0427001B" w:tentative="1">
      <w:start w:val="1"/>
      <w:numFmt w:val="lowerRoman"/>
      <w:lvlText w:val="%3."/>
      <w:lvlJc w:val="right"/>
      <w:pPr>
        <w:ind w:left="1972" w:hanging="180"/>
      </w:pPr>
    </w:lvl>
    <w:lvl w:ilvl="3" w:tplc="0427000F" w:tentative="1">
      <w:start w:val="1"/>
      <w:numFmt w:val="decimal"/>
      <w:lvlText w:val="%4."/>
      <w:lvlJc w:val="left"/>
      <w:pPr>
        <w:ind w:left="2692" w:hanging="360"/>
      </w:pPr>
    </w:lvl>
    <w:lvl w:ilvl="4" w:tplc="04270019" w:tentative="1">
      <w:start w:val="1"/>
      <w:numFmt w:val="lowerLetter"/>
      <w:lvlText w:val="%5."/>
      <w:lvlJc w:val="left"/>
      <w:pPr>
        <w:ind w:left="3412" w:hanging="360"/>
      </w:pPr>
    </w:lvl>
    <w:lvl w:ilvl="5" w:tplc="0427001B" w:tentative="1">
      <w:start w:val="1"/>
      <w:numFmt w:val="lowerRoman"/>
      <w:lvlText w:val="%6."/>
      <w:lvlJc w:val="right"/>
      <w:pPr>
        <w:ind w:left="4132" w:hanging="180"/>
      </w:pPr>
    </w:lvl>
    <w:lvl w:ilvl="6" w:tplc="0427000F" w:tentative="1">
      <w:start w:val="1"/>
      <w:numFmt w:val="decimal"/>
      <w:lvlText w:val="%7."/>
      <w:lvlJc w:val="left"/>
      <w:pPr>
        <w:ind w:left="4852" w:hanging="360"/>
      </w:pPr>
    </w:lvl>
    <w:lvl w:ilvl="7" w:tplc="04270019" w:tentative="1">
      <w:start w:val="1"/>
      <w:numFmt w:val="lowerLetter"/>
      <w:lvlText w:val="%8."/>
      <w:lvlJc w:val="left"/>
      <w:pPr>
        <w:ind w:left="5572" w:hanging="360"/>
      </w:pPr>
    </w:lvl>
    <w:lvl w:ilvl="8" w:tplc="0427001B" w:tentative="1">
      <w:start w:val="1"/>
      <w:numFmt w:val="lowerRoman"/>
      <w:lvlText w:val="%9."/>
      <w:lvlJc w:val="right"/>
      <w:pPr>
        <w:ind w:left="6292" w:hanging="180"/>
      </w:pPr>
    </w:lvl>
  </w:abstractNum>
  <w:abstractNum w:abstractNumId="5" w15:restartNumberingAfterBreak="0">
    <w:nsid w:val="15E92FED"/>
    <w:multiLevelType w:val="hybridMultilevel"/>
    <w:tmpl w:val="D5B2962C"/>
    <w:lvl w:ilvl="0" w:tplc="98464964">
      <w:start w:val="1"/>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BE67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2B1D51"/>
    <w:multiLevelType w:val="hybridMultilevel"/>
    <w:tmpl w:val="98BCD9BA"/>
    <w:lvl w:ilvl="0" w:tplc="62D63782">
      <w:start w:val="5"/>
      <w:numFmt w:val="decimal"/>
      <w:lvlText w:val="%1."/>
      <w:lvlJc w:val="left"/>
      <w:pPr>
        <w:ind w:left="644" w:hanging="360"/>
      </w:pPr>
      <w:rPr>
        <w:rFonts w:hint="default"/>
        <w:color w:val="000000"/>
        <w:sz w:val="22"/>
        <w:szCs w:val="22"/>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4B95C6E"/>
    <w:multiLevelType w:val="hybridMultilevel"/>
    <w:tmpl w:val="4BE4E570"/>
    <w:lvl w:ilvl="0" w:tplc="A1746D22">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EB49BC"/>
    <w:multiLevelType w:val="hybridMultilevel"/>
    <w:tmpl w:val="31D064B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1818CDE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05327F"/>
    <w:multiLevelType w:val="multilevel"/>
    <w:tmpl w:val="BB1EEA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7204DB"/>
    <w:multiLevelType w:val="multilevel"/>
    <w:tmpl w:val="F5460BB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DB3B9A"/>
    <w:multiLevelType w:val="multilevel"/>
    <w:tmpl w:val="234C7EA6"/>
    <w:lvl w:ilvl="0">
      <w:start w:val="4"/>
      <w:numFmt w:val="decimal"/>
      <w:lvlText w:val="%1."/>
      <w:lvlJc w:val="left"/>
      <w:pPr>
        <w:ind w:left="502" w:hanging="360"/>
      </w:pPr>
      <w:rPr>
        <w:rFonts w:hint="default"/>
        <w:u w:val="none"/>
      </w:rPr>
    </w:lvl>
    <w:lvl w:ilvl="1">
      <w:start w:val="1"/>
      <w:numFmt w:val="decimal"/>
      <w:lvlText w:val="%1.%2."/>
      <w:lvlJc w:val="left"/>
      <w:pPr>
        <w:ind w:left="1429" w:hanging="720"/>
      </w:pPr>
      <w:rPr>
        <w:rFonts w:hint="default"/>
        <w:color w:val="auto"/>
        <w:u w:val="none"/>
      </w:rPr>
    </w:lvl>
    <w:lvl w:ilvl="2">
      <w:start w:val="1"/>
      <w:numFmt w:val="decimal"/>
      <w:lvlText w:val="%1.%2.%3."/>
      <w:lvlJc w:val="left"/>
      <w:pPr>
        <w:ind w:left="1996" w:hanging="720"/>
      </w:pPr>
      <w:rPr>
        <w:rFonts w:hint="default"/>
        <w:sz w:val="22"/>
        <w:u w:val="none"/>
      </w:rPr>
    </w:lvl>
    <w:lvl w:ilvl="3">
      <w:start w:val="1"/>
      <w:numFmt w:val="decimal"/>
      <w:lvlText w:val="%1.%2.%3.%4."/>
      <w:lvlJc w:val="left"/>
      <w:pPr>
        <w:ind w:left="2923" w:hanging="1080"/>
      </w:pPr>
      <w:rPr>
        <w:rFonts w:hint="default"/>
        <w:u w:val="single"/>
      </w:rPr>
    </w:lvl>
    <w:lvl w:ilvl="4">
      <w:start w:val="1"/>
      <w:numFmt w:val="decimal"/>
      <w:lvlText w:val="%1.%2.%3.%4.%5."/>
      <w:lvlJc w:val="left"/>
      <w:pPr>
        <w:ind w:left="3490" w:hanging="1080"/>
      </w:pPr>
      <w:rPr>
        <w:rFonts w:hint="default"/>
        <w:u w:val="single"/>
      </w:rPr>
    </w:lvl>
    <w:lvl w:ilvl="5">
      <w:start w:val="1"/>
      <w:numFmt w:val="decimal"/>
      <w:lvlText w:val="%1.%2.%3.%4.%5.%6."/>
      <w:lvlJc w:val="left"/>
      <w:pPr>
        <w:ind w:left="4417" w:hanging="1440"/>
      </w:pPr>
      <w:rPr>
        <w:rFonts w:hint="default"/>
        <w:u w:val="single"/>
      </w:rPr>
    </w:lvl>
    <w:lvl w:ilvl="6">
      <w:start w:val="1"/>
      <w:numFmt w:val="decimal"/>
      <w:lvlText w:val="%1.%2.%3.%4.%5.%6.%7."/>
      <w:lvlJc w:val="left"/>
      <w:pPr>
        <w:ind w:left="4984" w:hanging="1440"/>
      </w:pPr>
      <w:rPr>
        <w:rFonts w:hint="default"/>
        <w:u w:val="single"/>
      </w:rPr>
    </w:lvl>
    <w:lvl w:ilvl="7">
      <w:start w:val="1"/>
      <w:numFmt w:val="decimal"/>
      <w:lvlText w:val="%1.%2.%3.%4.%5.%6.%7.%8."/>
      <w:lvlJc w:val="left"/>
      <w:pPr>
        <w:ind w:left="5911" w:hanging="1800"/>
      </w:pPr>
      <w:rPr>
        <w:rFonts w:hint="default"/>
        <w:u w:val="single"/>
      </w:rPr>
    </w:lvl>
    <w:lvl w:ilvl="8">
      <w:start w:val="1"/>
      <w:numFmt w:val="decimal"/>
      <w:lvlText w:val="%1.%2.%3.%4.%5.%6.%7.%8.%9."/>
      <w:lvlJc w:val="left"/>
      <w:pPr>
        <w:ind w:left="6478" w:hanging="1800"/>
      </w:pPr>
      <w:rPr>
        <w:rFonts w:hint="default"/>
        <w:u w:val="single"/>
      </w:rPr>
    </w:lvl>
  </w:abstractNum>
  <w:abstractNum w:abstractNumId="13" w15:restartNumberingAfterBreak="0">
    <w:nsid w:val="49F621C2"/>
    <w:multiLevelType w:val="multilevel"/>
    <w:tmpl w:val="B09E295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42434C5"/>
    <w:multiLevelType w:val="hybridMultilevel"/>
    <w:tmpl w:val="C486ED0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10C45"/>
    <w:multiLevelType w:val="multilevel"/>
    <w:tmpl w:val="CE307C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1441A"/>
    <w:multiLevelType w:val="hybridMultilevel"/>
    <w:tmpl w:val="CC1A76B6"/>
    <w:lvl w:ilvl="0" w:tplc="9C40B80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47462"/>
    <w:multiLevelType w:val="multilevel"/>
    <w:tmpl w:val="A02C44D6"/>
    <w:lvl w:ilvl="0">
      <w:start w:val="1"/>
      <w:numFmt w:val="decimal"/>
      <w:lvlText w:val="%1."/>
      <w:lvlJc w:val="left"/>
      <w:pPr>
        <w:ind w:left="250" w:hanging="360"/>
      </w:pPr>
      <w:rPr>
        <w:rFonts w:hint="default"/>
        <w:color w:val="auto"/>
      </w:rPr>
    </w:lvl>
    <w:lvl w:ilvl="1">
      <w:start w:val="1"/>
      <w:numFmt w:val="decimal"/>
      <w:isLgl/>
      <w:lvlText w:val="%1.%2."/>
      <w:lvlJc w:val="left"/>
      <w:pPr>
        <w:ind w:left="961" w:hanging="360"/>
      </w:pPr>
      <w:rPr>
        <w:rFonts w:hint="default"/>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8" w15:restartNumberingAfterBreak="0">
    <w:nsid w:val="63E8039F"/>
    <w:multiLevelType w:val="multilevel"/>
    <w:tmpl w:val="B1B85530"/>
    <w:lvl w:ilvl="0">
      <w:start w:val="1"/>
      <w:numFmt w:val="decimal"/>
      <w:lvlText w:val="%1."/>
      <w:lvlJc w:val="left"/>
      <w:pPr>
        <w:ind w:left="250" w:hanging="360"/>
      </w:pPr>
      <w:rPr>
        <w:rFonts w:asciiTheme="majorHAnsi" w:hAnsiTheme="majorHAnsi" w:cstheme="majorHAnsi" w:hint="default"/>
        <w:b/>
        <w:color w:val="auto"/>
        <w:sz w:val="22"/>
      </w:rPr>
    </w:lvl>
    <w:lvl w:ilvl="1">
      <w:start w:val="1"/>
      <w:numFmt w:val="decimal"/>
      <w:isLgl/>
      <w:lvlText w:val="%1.%2."/>
      <w:lvlJc w:val="left"/>
      <w:pPr>
        <w:ind w:left="961" w:hanging="360"/>
      </w:pPr>
      <w:rPr>
        <w:rFonts w:hint="default"/>
        <w:b w:val="0"/>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9" w15:restartNumberingAfterBreak="0">
    <w:nsid w:val="65A53CD7"/>
    <w:multiLevelType w:val="multilevel"/>
    <w:tmpl w:val="AD1CAB86"/>
    <w:lvl w:ilvl="0">
      <w:start w:val="2"/>
      <w:numFmt w:val="decimal"/>
      <w:lvlText w:val="%1."/>
      <w:lvlJc w:val="left"/>
      <w:pPr>
        <w:ind w:left="360" w:hanging="360"/>
      </w:pPr>
      <w:rPr>
        <w:rFonts w:ascii="Calibri Light" w:hAnsi="Calibri Light" w:cs="Calibri Light" w:hint="default"/>
      </w:rPr>
    </w:lvl>
    <w:lvl w:ilvl="1">
      <w:start w:val="3"/>
      <w:numFmt w:val="decimal"/>
      <w:lvlText w:val="%1.%2."/>
      <w:lvlJc w:val="left"/>
      <w:pPr>
        <w:ind w:left="1080" w:hanging="360"/>
      </w:pPr>
      <w:rPr>
        <w:rFonts w:ascii="Calibri Light" w:hAnsi="Calibri Light" w:cs="Calibri Light" w:hint="default"/>
      </w:rPr>
    </w:lvl>
    <w:lvl w:ilvl="2">
      <w:start w:val="1"/>
      <w:numFmt w:val="decimal"/>
      <w:lvlText w:val="%1.%2.%3."/>
      <w:lvlJc w:val="left"/>
      <w:pPr>
        <w:ind w:left="2160" w:hanging="720"/>
      </w:pPr>
      <w:rPr>
        <w:rFonts w:ascii="Calibri Light" w:hAnsi="Calibri Light" w:cs="Calibri Light" w:hint="default"/>
      </w:rPr>
    </w:lvl>
    <w:lvl w:ilvl="3">
      <w:start w:val="1"/>
      <w:numFmt w:val="decimal"/>
      <w:lvlText w:val="%1.%2.%3.%4."/>
      <w:lvlJc w:val="left"/>
      <w:pPr>
        <w:ind w:left="2880" w:hanging="720"/>
      </w:pPr>
      <w:rPr>
        <w:rFonts w:ascii="Calibri Light" w:hAnsi="Calibri Light" w:cs="Calibri Light" w:hint="default"/>
      </w:rPr>
    </w:lvl>
    <w:lvl w:ilvl="4">
      <w:start w:val="1"/>
      <w:numFmt w:val="decimal"/>
      <w:lvlText w:val="%1.%2.%3.%4.%5."/>
      <w:lvlJc w:val="left"/>
      <w:pPr>
        <w:ind w:left="3960" w:hanging="1080"/>
      </w:pPr>
      <w:rPr>
        <w:rFonts w:ascii="Calibri Light" w:hAnsi="Calibri Light" w:cs="Calibri Light" w:hint="default"/>
      </w:rPr>
    </w:lvl>
    <w:lvl w:ilvl="5">
      <w:start w:val="1"/>
      <w:numFmt w:val="decimal"/>
      <w:lvlText w:val="%1.%2.%3.%4.%5.%6."/>
      <w:lvlJc w:val="left"/>
      <w:pPr>
        <w:ind w:left="4680" w:hanging="1080"/>
      </w:pPr>
      <w:rPr>
        <w:rFonts w:ascii="Calibri Light" w:hAnsi="Calibri Light" w:cs="Calibri Light" w:hint="default"/>
      </w:rPr>
    </w:lvl>
    <w:lvl w:ilvl="6">
      <w:start w:val="1"/>
      <w:numFmt w:val="decimal"/>
      <w:lvlText w:val="%1.%2.%3.%4.%5.%6.%7."/>
      <w:lvlJc w:val="left"/>
      <w:pPr>
        <w:ind w:left="5760" w:hanging="1440"/>
      </w:pPr>
      <w:rPr>
        <w:rFonts w:ascii="Calibri Light" w:hAnsi="Calibri Light" w:cs="Calibri Light" w:hint="default"/>
      </w:rPr>
    </w:lvl>
    <w:lvl w:ilvl="7">
      <w:start w:val="1"/>
      <w:numFmt w:val="decimal"/>
      <w:lvlText w:val="%1.%2.%3.%4.%5.%6.%7.%8."/>
      <w:lvlJc w:val="left"/>
      <w:pPr>
        <w:ind w:left="6480" w:hanging="1440"/>
      </w:pPr>
      <w:rPr>
        <w:rFonts w:ascii="Calibri Light" w:hAnsi="Calibri Light" w:cs="Calibri Light" w:hint="default"/>
      </w:rPr>
    </w:lvl>
    <w:lvl w:ilvl="8">
      <w:start w:val="1"/>
      <w:numFmt w:val="decimal"/>
      <w:lvlText w:val="%1.%2.%3.%4.%5.%6.%7.%8.%9."/>
      <w:lvlJc w:val="left"/>
      <w:pPr>
        <w:ind w:left="7560" w:hanging="1800"/>
      </w:pPr>
      <w:rPr>
        <w:rFonts w:ascii="Calibri Light" w:hAnsi="Calibri Light" w:cs="Calibri Light" w:hint="default"/>
      </w:rPr>
    </w:lvl>
  </w:abstractNum>
  <w:abstractNum w:abstractNumId="20" w15:restartNumberingAfterBreak="0">
    <w:nsid w:val="689A332D"/>
    <w:multiLevelType w:val="multilevel"/>
    <w:tmpl w:val="6A70E4B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6A004316"/>
    <w:multiLevelType w:val="hybridMultilevel"/>
    <w:tmpl w:val="76BC6466"/>
    <w:lvl w:ilvl="0" w:tplc="D76606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25B6363"/>
    <w:multiLevelType w:val="multilevel"/>
    <w:tmpl w:val="3C08629C"/>
    <w:lvl w:ilvl="0">
      <w:start w:val="4"/>
      <w:numFmt w:val="decimal"/>
      <w:lvlText w:val="%1."/>
      <w:lvlJc w:val="left"/>
      <w:pPr>
        <w:ind w:left="360" w:hanging="360"/>
      </w:pPr>
      <w:rPr>
        <w:rFonts w:hint="default"/>
        <w:sz w:val="22"/>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2563" w:hanging="720"/>
      </w:pPr>
      <w:rPr>
        <w:rFonts w:hint="default"/>
        <w:u w:val="non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23" w15:restartNumberingAfterBreak="0">
    <w:nsid w:val="774E42DB"/>
    <w:multiLevelType w:val="hybridMultilevel"/>
    <w:tmpl w:val="46C66B28"/>
    <w:lvl w:ilvl="0" w:tplc="69D69D84">
      <w:start w:val="2"/>
      <w:numFmt w:val="bullet"/>
      <w:lvlText w:val="-"/>
      <w:lvlJc w:val="left"/>
      <w:pPr>
        <w:ind w:left="1321" w:hanging="360"/>
      </w:pPr>
      <w:rPr>
        <w:rFonts w:ascii="Calibri Light" w:eastAsia="Times New Roman" w:hAnsi="Calibri Light" w:cs="Calibri Light"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4" w15:restartNumberingAfterBreak="0">
    <w:nsid w:val="7C1F09E2"/>
    <w:multiLevelType w:val="multilevel"/>
    <w:tmpl w:val="80EA10BC"/>
    <w:lvl w:ilvl="0">
      <w:start w:val="4"/>
      <w:numFmt w:val="decimal"/>
      <w:lvlText w:val="%1."/>
      <w:lvlJc w:val="left"/>
      <w:pPr>
        <w:ind w:left="360" w:hanging="360"/>
      </w:pPr>
      <w:rPr>
        <w:rFonts w:hint="default"/>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25" w15:restartNumberingAfterBreak="0">
    <w:nsid w:val="7DF32EEB"/>
    <w:multiLevelType w:val="multilevel"/>
    <w:tmpl w:val="190A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sz w:val="22"/>
      </w:rPr>
    </w:lvl>
    <w:lvl w:ilvl="2">
      <w:start w:val="1"/>
      <w:numFmt w:val="decimal"/>
      <w:isLgl/>
      <w:lvlText w:val="%1.%2.%3."/>
      <w:lvlJc w:val="left"/>
      <w:pPr>
        <w:ind w:left="1080" w:hanging="720"/>
      </w:pPr>
      <w:rPr>
        <w:rFonts w:ascii="Calibri Light" w:hAnsi="Calibri Light" w:cs="Calibri Light" w:hint="default"/>
        <w:sz w:val="22"/>
      </w:rPr>
    </w:lvl>
    <w:lvl w:ilvl="3">
      <w:start w:val="1"/>
      <w:numFmt w:val="decimal"/>
      <w:isLgl/>
      <w:lvlText w:val="%1.%2.%3.%4."/>
      <w:lvlJc w:val="left"/>
      <w:pPr>
        <w:ind w:left="1080" w:hanging="720"/>
      </w:pPr>
      <w:rPr>
        <w:rFonts w:ascii="Calibri Light" w:hAnsi="Calibri Light" w:cs="Calibri Light" w:hint="default"/>
        <w:sz w:val="22"/>
      </w:rPr>
    </w:lvl>
    <w:lvl w:ilvl="4">
      <w:start w:val="1"/>
      <w:numFmt w:val="decimal"/>
      <w:isLgl/>
      <w:lvlText w:val="%1.%2.%3.%4.%5."/>
      <w:lvlJc w:val="left"/>
      <w:pPr>
        <w:ind w:left="1440" w:hanging="1080"/>
      </w:pPr>
      <w:rPr>
        <w:rFonts w:ascii="Calibri Light" w:hAnsi="Calibri Light" w:cs="Calibri Light" w:hint="default"/>
        <w:sz w:val="22"/>
      </w:rPr>
    </w:lvl>
    <w:lvl w:ilvl="5">
      <w:start w:val="1"/>
      <w:numFmt w:val="decimal"/>
      <w:isLgl/>
      <w:lvlText w:val="%1.%2.%3.%4.%5.%6."/>
      <w:lvlJc w:val="left"/>
      <w:pPr>
        <w:ind w:left="1440" w:hanging="1080"/>
      </w:pPr>
      <w:rPr>
        <w:rFonts w:ascii="Calibri Light" w:hAnsi="Calibri Light" w:cs="Calibri Light" w:hint="default"/>
        <w:sz w:val="22"/>
      </w:rPr>
    </w:lvl>
    <w:lvl w:ilvl="6">
      <w:start w:val="1"/>
      <w:numFmt w:val="decimal"/>
      <w:isLgl/>
      <w:lvlText w:val="%1.%2.%3.%4.%5.%6.%7."/>
      <w:lvlJc w:val="left"/>
      <w:pPr>
        <w:ind w:left="1800" w:hanging="1440"/>
      </w:pPr>
      <w:rPr>
        <w:rFonts w:ascii="Calibri Light" w:hAnsi="Calibri Light" w:cs="Calibri Light" w:hint="default"/>
        <w:sz w:val="22"/>
      </w:rPr>
    </w:lvl>
    <w:lvl w:ilvl="7">
      <w:start w:val="1"/>
      <w:numFmt w:val="decimal"/>
      <w:isLgl/>
      <w:lvlText w:val="%1.%2.%3.%4.%5.%6.%7.%8."/>
      <w:lvlJc w:val="left"/>
      <w:pPr>
        <w:ind w:left="1800" w:hanging="1440"/>
      </w:pPr>
      <w:rPr>
        <w:rFonts w:ascii="Calibri Light" w:hAnsi="Calibri Light" w:cs="Calibri Light" w:hint="default"/>
        <w:sz w:val="22"/>
      </w:rPr>
    </w:lvl>
    <w:lvl w:ilvl="8">
      <w:start w:val="1"/>
      <w:numFmt w:val="decimal"/>
      <w:isLgl/>
      <w:lvlText w:val="%1.%2.%3.%4.%5.%6.%7.%8.%9."/>
      <w:lvlJc w:val="left"/>
      <w:pPr>
        <w:ind w:left="2160" w:hanging="1800"/>
      </w:pPr>
      <w:rPr>
        <w:rFonts w:ascii="Calibri Light" w:hAnsi="Calibri Light" w:cs="Calibri Light" w:hint="default"/>
        <w:sz w:val="22"/>
      </w:rPr>
    </w:lvl>
  </w:abstractNum>
  <w:abstractNum w:abstractNumId="26" w15:restartNumberingAfterBreak="0">
    <w:nsid w:val="7EF846BE"/>
    <w:multiLevelType w:val="multilevel"/>
    <w:tmpl w:val="F454DB3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F5E04F4"/>
    <w:multiLevelType w:val="hybridMultilevel"/>
    <w:tmpl w:val="F3D0FC4A"/>
    <w:lvl w:ilvl="0" w:tplc="9298445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0736403">
    <w:abstractNumId w:val="20"/>
  </w:num>
  <w:num w:numId="2" w16cid:durableId="501360639">
    <w:abstractNumId w:val="5"/>
  </w:num>
  <w:num w:numId="3" w16cid:durableId="1106541746">
    <w:abstractNumId w:val="8"/>
  </w:num>
  <w:num w:numId="4" w16cid:durableId="59985568">
    <w:abstractNumId w:val="16"/>
  </w:num>
  <w:num w:numId="5" w16cid:durableId="1381200143">
    <w:abstractNumId w:val="24"/>
  </w:num>
  <w:num w:numId="6" w16cid:durableId="1237401485">
    <w:abstractNumId w:val="12"/>
  </w:num>
  <w:num w:numId="7" w16cid:durableId="312030487">
    <w:abstractNumId w:val="22"/>
  </w:num>
  <w:num w:numId="8" w16cid:durableId="763649580">
    <w:abstractNumId w:val="14"/>
  </w:num>
  <w:num w:numId="9" w16cid:durableId="1907296712">
    <w:abstractNumId w:val="18"/>
  </w:num>
  <w:num w:numId="10" w16cid:durableId="1634287267">
    <w:abstractNumId w:val="10"/>
  </w:num>
  <w:num w:numId="11" w16cid:durableId="1704819602">
    <w:abstractNumId w:val="17"/>
  </w:num>
  <w:num w:numId="12" w16cid:durableId="925261456">
    <w:abstractNumId w:val="23"/>
  </w:num>
  <w:num w:numId="13" w16cid:durableId="875388431">
    <w:abstractNumId w:val="4"/>
  </w:num>
  <w:num w:numId="14" w16cid:durableId="1894998352">
    <w:abstractNumId w:val="21"/>
  </w:num>
  <w:num w:numId="15" w16cid:durableId="1157570255">
    <w:abstractNumId w:val="1"/>
  </w:num>
  <w:num w:numId="16" w16cid:durableId="1466972941">
    <w:abstractNumId w:val="9"/>
  </w:num>
  <w:num w:numId="17" w16cid:durableId="145628940">
    <w:abstractNumId w:val="27"/>
  </w:num>
  <w:num w:numId="18" w16cid:durableId="224491767">
    <w:abstractNumId w:val="11"/>
  </w:num>
  <w:num w:numId="19" w16cid:durableId="1839273528">
    <w:abstractNumId w:val="2"/>
  </w:num>
  <w:num w:numId="20" w16cid:durableId="1689745934">
    <w:abstractNumId w:val="6"/>
  </w:num>
  <w:num w:numId="21" w16cid:durableId="1123353876">
    <w:abstractNumId w:val="3"/>
  </w:num>
  <w:num w:numId="22" w16cid:durableId="1393774527">
    <w:abstractNumId w:val="25"/>
  </w:num>
  <w:num w:numId="23" w16cid:durableId="1494106705">
    <w:abstractNumId w:val="15"/>
  </w:num>
  <w:num w:numId="24" w16cid:durableId="1390617131">
    <w:abstractNumId w:val="19"/>
  </w:num>
  <w:num w:numId="25" w16cid:durableId="937829131">
    <w:abstractNumId w:val="13"/>
  </w:num>
  <w:num w:numId="26" w16cid:durableId="1325359114">
    <w:abstractNumId w:val="7"/>
  </w:num>
  <w:num w:numId="27" w16cid:durableId="2020934962">
    <w:abstractNumId w:val="0"/>
  </w:num>
  <w:num w:numId="28" w16cid:durableId="8148769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04"/>
    <w:rsid w:val="00003A52"/>
    <w:rsid w:val="00003BEF"/>
    <w:rsid w:val="00003D29"/>
    <w:rsid w:val="00013097"/>
    <w:rsid w:val="000215B9"/>
    <w:rsid w:val="00022050"/>
    <w:rsid w:val="000233B1"/>
    <w:rsid w:val="00023AC9"/>
    <w:rsid w:val="000247C2"/>
    <w:rsid w:val="00030772"/>
    <w:rsid w:val="00034AF0"/>
    <w:rsid w:val="00034D8A"/>
    <w:rsid w:val="00036C29"/>
    <w:rsid w:val="00040323"/>
    <w:rsid w:val="000479C2"/>
    <w:rsid w:val="00047D14"/>
    <w:rsid w:val="00050274"/>
    <w:rsid w:val="000707C6"/>
    <w:rsid w:val="00070D5C"/>
    <w:rsid w:val="00071AE5"/>
    <w:rsid w:val="00072467"/>
    <w:rsid w:val="00076F48"/>
    <w:rsid w:val="00082EDE"/>
    <w:rsid w:val="000832C3"/>
    <w:rsid w:val="000833AE"/>
    <w:rsid w:val="000A0363"/>
    <w:rsid w:val="000A077A"/>
    <w:rsid w:val="000A303E"/>
    <w:rsid w:val="000A6C08"/>
    <w:rsid w:val="000B2352"/>
    <w:rsid w:val="000C0693"/>
    <w:rsid w:val="000C1D47"/>
    <w:rsid w:val="000C350A"/>
    <w:rsid w:val="000C4DE2"/>
    <w:rsid w:val="000D2063"/>
    <w:rsid w:val="000D5467"/>
    <w:rsid w:val="000D781C"/>
    <w:rsid w:val="000E0593"/>
    <w:rsid w:val="000E0D79"/>
    <w:rsid w:val="000E169C"/>
    <w:rsid w:val="000E41CF"/>
    <w:rsid w:val="000F1615"/>
    <w:rsid w:val="000F2DD9"/>
    <w:rsid w:val="000F5B4F"/>
    <w:rsid w:val="000F67A8"/>
    <w:rsid w:val="000F721F"/>
    <w:rsid w:val="000F752C"/>
    <w:rsid w:val="0010146C"/>
    <w:rsid w:val="001020CB"/>
    <w:rsid w:val="00104585"/>
    <w:rsid w:val="00113F91"/>
    <w:rsid w:val="0011445A"/>
    <w:rsid w:val="00115663"/>
    <w:rsid w:val="00115BE4"/>
    <w:rsid w:val="00117ECE"/>
    <w:rsid w:val="00125CFF"/>
    <w:rsid w:val="001300AB"/>
    <w:rsid w:val="00135A97"/>
    <w:rsid w:val="00136810"/>
    <w:rsid w:val="001413F9"/>
    <w:rsid w:val="001473F6"/>
    <w:rsid w:val="001539B1"/>
    <w:rsid w:val="00154EAF"/>
    <w:rsid w:val="0015529E"/>
    <w:rsid w:val="00162959"/>
    <w:rsid w:val="00167B1A"/>
    <w:rsid w:val="0017444D"/>
    <w:rsid w:val="001815E2"/>
    <w:rsid w:val="00183A3C"/>
    <w:rsid w:val="00183ACD"/>
    <w:rsid w:val="0018500F"/>
    <w:rsid w:val="001902D3"/>
    <w:rsid w:val="00194F21"/>
    <w:rsid w:val="00196D4E"/>
    <w:rsid w:val="001A7A8C"/>
    <w:rsid w:val="001A7E0E"/>
    <w:rsid w:val="001B1734"/>
    <w:rsid w:val="001B44A6"/>
    <w:rsid w:val="001B768F"/>
    <w:rsid w:val="001C029B"/>
    <w:rsid w:val="001C403C"/>
    <w:rsid w:val="001C588D"/>
    <w:rsid w:val="001C79F8"/>
    <w:rsid w:val="001D12D0"/>
    <w:rsid w:val="001D278B"/>
    <w:rsid w:val="001D43C3"/>
    <w:rsid w:val="001D5775"/>
    <w:rsid w:val="001E592A"/>
    <w:rsid w:val="001E74B7"/>
    <w:rsid w:val="001F3E0F"/>
    <w:rsid w:val="001F70BA"/>
    <w:rsid w:val="00205E0A"/>
    <w:rsid w:val="0021073A"/>
    <w:rsid w:val="00211D86"/>
    <w:rsid w:val="00217A98"/>
    <w:rsid w:val="00235A7A"/>
    <w:rsid w:val="00251DBB"/>
    <w:rsid w:val="00256BFD"/>
    <w:rsid w:val="00260D8F"/>
    <w:rsid w:val="0026403C"/>
    <w:rsid w:val="0026558B"/>
    <w:rsid w:val="00274030"/>
    <w:rsid w:val="0027534B"/>
    <w:rsid w:val="00276F3F"/>
    <w:rsid w:val="00277364"/>
    <w:rsid w:val="00282AB6"/>
    <w:rsid w:val="00293403"/>
    <w:rsid w:val="0029744E"/>
    <w:rsid w:val="002A3F2D"/>
    <w:rsid w:val="002A4023"/>
    <w:rsid w:val="002A4296"/>
    <w:rsid w:val="002A5B7B"/>
    <w:rsid w:val="002B0996"/>
    <w:rsid w:val="002B23B3"/>
    <w:rsid w:val="002C295D"/>
    <w:rsid w:val="002C312C"/>
    <w:rsid w:val="002C42B0"/>
    <w:rsid w:val="002C75EC"/>
    <w:rsid w:val="002E29E5"/>
    <w:rsid w:val="002E3A59"/>
    <w:rsid w:val="002E5E35"/>
    <w:rsid w:val="002F16AE"/>
    <w:rsid w:val="002F1AAE"/>
    <w:rsid w:val="002F2CE5"/>
    <w:rsid w:val="002F5FA8"/>
    <w:rsid w:val="003052FC"/>
    <w:rsid w:val="00320145"/>
    <w:rsid w:val="00342A3F"/>
    <w:rsid w:val="00350627"/>
    <w:rsid w:val="00351094"/>
    <w:rsid w:val="00351F43"/>
    <w:rsid w:val="00353AA4"/>
    <w:rsid w:val="0035510C"/>
    <w:rsid w:val="00360172"/>
    <w:rsid w:val="0036626F"/>
    <w:rsid w:val="0037171A"/>
    <w:rsid w:val="00373153"/>
    <w:rsid w:val="003746D3"/>
    <w:rsid w:val="00375632"/>
    <w:rsid w:val="003761AC"/>
    <w:rsid w:val="003825C8"/>
    <w:rsid w:val="00396893"/>
    <w:rsid w:val="003A03B8"/>
    <w:rsid w:val="003A07A5"/>
    <w:rsid w:val="003A137D"/>
    <w:rsid w:val="003A4CD0"/>
    <w:rsid w:val="003A59EB"/>
    <w:rsid w:val="003B6241"/>
    <w:rsid w:val="003C68FB"/>
    <w:rsid w:val="003E365F"/>
    <w:rsid w:val="003E5511"/>
    <w:rsid w:val="003F1A48"/>
    <w:rsid w:val="003F24D4"/>
    <w:rsid w:val="0040275A"/>
    <w:rsid w:val="00405A13"/>
    <w:rsid w:val="00413AED"/>
    <w:rsid w:val="00417303"/>
    <w:rsid w:val="00425664"/>
    <w:rsid w:val="00427235"/>
    <w:rsid w:val="004273E3"/>
    <w:rsid w:val="00433899"/>
    <w:rsid w:val="004439BF"/>
    <w:rsid w:val="00443AE6"/>
    <w:rsid w:val="0044433B"/>
    <w:rsid w:val="0045064B"/>
    <w:rsid w:val="004523BC"/>
    <w:rsid w:val="00455ADE"/>
    <w:rsid w:val="00461280"/>
    <w:rsid w:val="00461EEF"/>
    <w:rsid w:val="00464B36"/>
    <w:rsid w:val="004729D7"/>
    <w:rsid w:val="004804A1"/>
    <w:rsid w:val="00491C3D"/>
    <w:rsid w:val="00493963"/>
    <w:rsid w:val="00494B87"/>
    <w:rsid w:val="00495C35"/>
    <w:rsid w:val="004966F1"/>
    <w:rsid w:val="004B080F"/>
    <w:rsid w:val="004C186C"/>
    <w:rsid w:val="004D6AF4"/>
    <w:rsid w:val="004E1BCF"/>
    <w:rsid w:val="004E60EB"/>
    <w:rsid w:val="004E67DB"/>
    <w:rsid w:val="004F2E32"/>
    <w:rsid w:val="004F66F3"/>
    <w:rsid w:val="004F750B"/>
    <w:rsid w:val="00502404"/>
    <w:rsid w:val="00503784"/>
    <w:rsid w:val="00503B19"/>
    <w:rsid w:val="005075E0"/>
    <w:rsid w:val="00521857"/>
    <w:rsid w:val="00523F9B"/>
    <w:rsid w:val="0052450E"/>
    <w:rsid w:val="00527023"/>
    <w:rsid w:val="00535F69"/>
    <w:rsid w:val="00536C1B"/>
    <w:rsid w:val="00540964"/>
    <w:rsid w:val="00543D55"/>
    <w:rsid w:val="00554F46"/>
    <w:rsid w:val="00556AFB"/>
    <w:rsid w:val="0056345F"/>
    <w:rsid w:val="0056776C"/>
    <w:rsid w:val="00572896"/>
    <w:rsid w:val="005740BE"/>
    <w:rsid w:val="00591337"/>
    <w:rsid w:val="00593512"/>
    <w:rsid w:val="00593570"/>
    <w:rsid w:val="00594FEB"/>
    <w:rsid w:val="005A67C9"/>
    <w:rsid w:val="005C0D2A"/>
    <w:rsid w:val="005C30F6"/>
    <w:rsid w:val="005E1FC1"/>
    <w:rsid w:val="00600517"/>
    <w:rsid w:val="00601612"/>
    <w:rsid w:val="006047CD"/>
    <w:rsid w:val="00610333"/>
    <w:rsid w:val="00610395"/>
    <w:rsid w:val="00616B0F"/>
    <w:rsid w:val="00621F04"/>
    <w:rsid w:val="00622786"/>
    <w:rsid w:val="00625145"/>
    <w:rsid w:val="00640A4E"/>
    <w:rsid w:val="00642936"/>
    <w:rsid w:val="006434EE"/>
    <w:rsid w:val="00653B08"/>
    <w:rsid w:val="00653BC8"/>
    <w:rsid w:val="006561EA"/>
    <w:rsid w:val="0067098F"/>
    <w:rsid w:val="00670EAB"/>
    <w:rsid w:val="00672F6B"/>
    <w:rsid w:val="00673FF4"/>
    <w:rsid w:val="006755B7"/>
    <w:rsid w:val="006873A2"/>
    <w:rsid w:val="0069367C"/>
    <w:rsid w:val="006A2305"/>
    <w:rsid w:val="006A2ACC"/>
    <w:rsid w:val="006A6808"/>
    <w:rsid w:val="006A7E68"/>
    <w:rsid w:val="006B097E"/>
    <w:rsid w:val="006B1E94"/>
    <w:rsid w:val="006B2566"/>
    <w:rsid w:val="006C5AFC"/>
    <w:rsid w:val="006D05C6"/>
    <w:rsid w:val="006D1592"/>
    <w:rsid w:val="006D15DD"/>
    <w:rsid w:val="006D27B4"/>
    <w:rsid w:val="006D4076"/>
    <w:rsid w:val="006D63DC"/>
    <w:rsid w:val="006E3751"/>
    <w:rsid w:val="006E4089"/>
    <w:rsid w:val="006E52FA"/>
    <w:rsid w:val="006E5EFB"/>
    <w:rsid w:val="006F1BB1"/>
    <w:rsid w:val="006F1C50"/>
    <w:rsid w:val="006F2899"/>
    <w:rsid w:val="006F4D1F"/>
    <w:rsid w:val="006F5B49"/>
    <w:rsid w:val="006F7E41"/>
    <w:rsid w:val="007033B9"/>
    <w:rsid w:val="00704D62"/>
    <w:rsid w:val="0071360A"/>
    <w:rsid w:val="007206CB"/>
    <w:rsid w:val="007227D5"/>
    <w:rsid w:val="00725BF5"/>
    <w:rsid w:val="00730932"/>
    <w:rsid w:val="00733965"/>
    <w:rsid w:val="00734661"/>
    <w:rsid w:val="00735380"/>
    <w:rsid w:val="00737124"/>
    <w:rsid w:val="007378F0"/>
    <w:rsid w:val="00740339"/>
    <w:rsid w:val="00740E9C"/>
    <w:rsid w:val="007447FC"/>
    <w:rsid w:val="00745BF6"/>
    <w:rsid w:val="00746CEE"/>
    <w:rsid w:val="00771395"/>
    <w:rsid w:val="00772F9C"/>
    <w:rsid w:val="00792575"/>
    <w:rsid w:val="00794842"/>
    <w:rsid w:val="00795689"/>
    <w:rsid w:val="00796776"/>
    <w:rsid w:val="00797F8A"/>
    <w:rsid w:val="007B072E"/>
    <w:rsid w:val="007B11E4"/>
    <w:rsid w:val="007D029C"/>
    <w:rsid w:val="007D0346"/>
    <w:rsid w:val="007D100B"/>
    <w:rsid w:val="007D35C1"/>
    <w:rsid w:val="007D497D"/>
    <w:rsid w:val="007D61C7"/>
    <w:rsid w:val="007E3A28"/>
    <w:rsid w:val="007F1C51"/>
    <w:rsid w:val="007F7AAA"/>
    <w:rsid w:val="00800609"/>
    <w:rsid w:val="00801B1F"/>
    <w:rsid w:val="00807C45"/>
    <w:rsid w:val="00812A0B"/>
    <w:rsid w:val="00821DD8"/>
    <w:rsid w:val="00831A5E"/>
    <w:rsid w:val="00834491"/>
    <w:rsid w:val="00835315"/>
    <w:rsid w:val="00836E91"/>
    <w:rsid w:val="008417BA"/>
    <w:rsid w:val="00844831"/>
    <w:rsid w:val="00847F8B"/>
    <w:rsid w:val="00850250"/>
    <w:rsid w:val="00850F87"/>
    <w:rsid w:val="00851B03"/>
    <w:rsid w:val="00853B03"/>
    <w:rsid w:val="00856C21"/>
    <w:rsid w:val="0085765D"/>
    <w:rsid w:val="00863B82"/>
    <w:rsid w:val="00873653"/>
    <w:rsid w:val="008857E2"/>
    <w:rsid w:val="00891841"/>
    <w:rsid w:val="00894F00"/>
    <w:rsid w:val="0089601F"/>
    <w:rsid w:val="008A1911"/>
    <w:rsid w:val="008A37AD"/>
    <w:rsid w:val="008A52BB"/>
    <w:rsid w:val="008B09F5"/>
    <w:rsid w:val="008B151B"/>
    <w:rsid w:val="008B387E"/>
    <w:rsid w:val="008B5F14"/>
    <w:rsid w:val="008B69ED"/>
    <w:rsid w:val="008B7206"/>
    <w:rsid w:val="008C3F26"/>
    <w:rsid w:val="008E0D12"/>
    <w:rsid w:val="008E6326"/>
    <w:rsid w:val="008F0CC7"/>
    <w:rsid w:val="00900579"/>
    <w:rsid w:val="009044AB"/>
    <w:rsid w:val="00905004"/>
    <w:rsid w:val="00911858"/>
    <w:rsid w:val="00920EAC"/>
    <w:rsid w:val="00923CAA"/>
    <w:rsid w:val="00925DD0"/>
    <w:rsid w:val="0094053C"/>
    <w:rsid w:val="00940F92"/>
    <w:rsid w:val="0094490B"/>
    <w:rsid w:val="00944F3E"/>
    <w:rsid w:val="0095421F"/>
    <w:rsid w:val="009843D2"/>
    <w:rsid w:val="00985C62"/>
    <w:rsid w:val="009944B7"/>
    <w:rsid w:val="009A05A9"/>
    <w:rsid w:val="009A1831"/>
    <w:rsid w:val="009A57AF"/>
    <w:rsid w:val="009B08AC"/>
    <w:rsid w:val="009B0F2D"/>
    <w:rsid w:val="009B18D5"/>
    <w:rsid w:val="009B1CD6"/>
    <w:rsid w:val="009B467F"/>
    <w:rsid w:val="009C25B0"/>
    <w:rsid w:val="009C2A3B"/>
    <w:rsid w:val="009C3D43"/>
    <w:rsid w:val="009C6DD9"/>
    <w:rsid w:val="009D40AD"/>
    <w:rsid w:val="009D52DB"/>
    <w:rsid w:val="009E1D55"/>
    <w:rsid w:val="009E6CAD"/>
    <w:rsid w:val="009F14D8"/>
    <w:rsid w:val="009F317E"/>
    <w:rsid w:val="009F65AD"/>
    <w:rsid w:val="00A06B0A"/>
    <w:rsid w:val="00A1441C"/>
    <w:rsid w:val="00A144B7"/>
    <w:rsid w:val="00A14B17"/>
    <w:rsid w:val="00A20D2B"/>
    <w:rsid w:val="00A247E5"/>
    <w:rsid w:val="00A24A3D"/>
    <w:rsid w:val="00A26ED9"/>
    <w:rsid w:val="00A37F06"/>
    <w:rsid w:val="00A44A42"/>
    <w:rsid w:val="00A512C6"/>
    <w:rsid w:val="00A519FC"/>
    <w:rsid w:val="00A57ADC"/>
    <w:rsid w:val="00A61E3D"/>
    <w:rsid w:val="00A62381"/>
    <w:rsid w:val="00A62E9F"/>
    <w:rsid w:val="00A728E7"/>
    <w:rsid w:val="00A7297B"/>
    <w:rsid w:val="00A72DA7"/>
    <w:rsid w:val="00A82203"/>
    <w:rsid w:val="00A93E27"/>
    <w:rsid w:val="00A94CAB"/>
    <w:rsid w:val="00A94FBD"/>
    <w:rsid w:val="00AA3635"/>
    <w:rsid w:val="00AA4ABD"/>
    <w:rsid w:val="00AA52D4"/>
    <w:rsid w:val="00AB087A"/>
    <w:rsid w:val="00AC58DB"/>
    <w:rsid w:val="00AC63FE"/>
    <w:rsid w:val="00AC71E4"/>
    <w:rsid w:val="00AD3762"/>
    <w:rsid w:val="00AD40A2"/>
    <w:rsid w:val="00AD4DD3"/>
    <w:rsid w:val="00AD5B59"/>
    <w:rsid w:val="00AE3441"/>
    <w:rsid w:val="00AE6F32"/>
    <w:rsid w:val="00AE7178"/>
    <w:rsid w:val="00AF2033"/>
    <w:rsid w:val="00AF3833"/>
    <w:rsid w:val="00B05B01"/>
    <w:rsid w:val="00B10F08"/>
    <w:rsid w:val="00B16C5F"/>
    <w:rsid w:val="00B204EC"/>
    <w:rsid w:val="00B23B7E"/>
    <w:rsid w:val="00B37DEE"/>
    <w:rsid w:val="00B37E18"/>
    <w:rsid w:val="00B42C94"/>
    <w:rsid w:val="00B47D04"/>
    <w:rsid w:val="00B519F9"/>
    <w:rsid w:val="00B51C8E"/>
    <w:rsid w:val="00B54FA9"/>
    <w:rsid w:val="00B60C92"/>
    <w:rsid w:val="00B6354A"/>
    <w:rsid w:val="00B649B6"/>
    <w:rsid w:val="00B85C10"/>
    <w:rsid w:val="00B85E29"/>
    <w:rsid w:val="00B8657F"/>
    <w:rsid w:val="00B93B81"/>
    <w:rsid w:val="00B93E6E"/>
    <w:rsid w:val="00B94A29"/>
    <w:rsid w:val="00B953C4"/>
    <w:rsid w:val="00B96D9D"/>
    <w:rsid w:val="00B97A9F"/>
    <w:rsid w:val="00BA03EA"/>
    <w:rsid w:val="00BC2C39"/>
    <w:rsid w:val="00BC5E22"/>
    <w:rsid w:val="00BD49CA"/>
    <w:rsid w:val="00BD7515"/>
    <w:rsid w:val="00BF4BFF"/>
    <w:rsid w:val="00BF689C"/>
    <w:rsid w:val="00BF7714"/>
    <w:rsid w:val="00C05B66"/>
    <w:rsid w:val="00C1281C"/>
    <w:rsid w:val="00C13AFE"/>
    <w:rsid w:val="00C1467D"/>
    <w:rsid w:val="00C15472"/>
    <w:rsid w:val="00C240C9"/>
    <w:rsid w:val="00C242F4"/>
    <w:rsid w:val="00C3130E"/>
    <w:rsid w:val="00C32598"/>
    <w:rsid w:val="00C32F13"/>
    <w:rsid w:val="00C33074"/>
    <w:rsid w:val="00C44BEE"/>
    <w:rsid w:val="00C46221"/>
    <w:rsid w:val="00C47475"/>
    <w:rsid w:val="00C47685"/>
    <w:rsid w:val="00C53F9C"/>
    <w:rsid w:val="00C55AEE"/>
    <w:rsid w:val="00C600C7"/>
    <w:rsid w:val="00C62FC4"/>
    <w:rsid w:val="00C64F52"/>
    <w:rsid w:val="00C71B62"/>
    <w:rsid w:val="00C71EC8"/>
    <w:rsid w:val="00C720F3"/>
    <w:rsid w:val="00C76D76"/>
    <w:rsid w:val="00C81E7C"/>
    <w:rsid w:val="00C87196"/>
    <w:rsid w:val="00CA0E91"/>
    <w:rsid w:val="00CA4F74"/>
    <w:rsid w:val="00CB5A9F"/>
    <w:rsid w:val="00CB72CF"/>
    <w:rsid w:val="00CC095A"/>
    <w:rsid w:val="00CC4FCF"/>
    <w:rsid w:val="00CC588B"/>
    <w:rsid w:val="00CD0AA6"/>
    <w:rsid w:val="00CD2791"/>
    <w:rsid w:val="00CD495A"/>
    <w:rsid w:val="00CD617B"/>
    <w:rsid w:val="00CD7DD3"/>
    <w:rsid w:val="00CE2F0A"/>
    <w:rsid w:val="00CE59BE"/>
    <w:rsid w:val="00CE772D"/>
    <w:rsid w:val="00CF2764"/>
    <w:rsid w:val="00D0230A"/>
    <w:rsid w:val="00D03C31"/>
    <w:rsid w:val="00D04665"/>
    <w:rsid w:val="00D05350"/>
    <w:rsid w:val="00D13908"/>
    <w:rsid w:val="00D14E71"/>
    <w:rsid w:val="00D16A55"/>
    <w:rsid w:val="00D174E4"/>
    <w:rsid w:val="00D24A95"/>
    <w:rsid w:val="00D24BD1"/>
    <w:rsid w:val="00D3240A"/>
    <w:rsid w:val="00D3262F"/>
    <w:rsid w:val="00D35A08"/>
    <w:rsid w:val="00D423E5"/>
    <w:rsid w:val="00D5020B"/>
    <w:rsid w:val="00D5315B"/>
    <w:rsid w:val="00D54677"/>
    <w:rsid w:val="00D56F11"/>
    <w:rsid w:val="00D57658"/>
    <w:rsid w:val="00D67FD2"/>
    <w:rsid w:val="00D70E1F"/>
    <w:rsid w:val="00D73D13"/>
    <w:rsid w:val="00D765DD"/>
    <w:rsid w:val="00D7694C"/>
    <w:rsid w:val="00D86E9B"/>
    <w:rsid w:val="00D91191"/>
    <w:rsid w:val="00D91656"/>
    <w:rsid w:val="00D974C9"/>
    <w:rsid w:val="00D975CF"/>
    <w:rsid w:val="00D9769A"/>
    <w:rsid w:val="00D978B1"/>
    <w:rsid w:val="00DA41B5"/>
    <w:rsid w:val="00DA78AF"/>
    <w:rsid w:val="00DB4E0D"/>
    <w:rsid w:val="00DC0810"/>
    <w:rsid w:val="00DC3616"/>
    <w:rsid w:val="00DC4FD0"/>
    <w:rsid w:val="00DC7693"/>
    <w:rsid w:val="00DD1DA2"/>
    <w:rsid w:val="00DD257A"/>
    <w:rsid w:val="00DE1BAF"/>
    <w:rsid w:val="00DE23AB"/>
    <w:rsid w:val="00DE4963"/>
    <w:rsid w:val="00DE54E4"/>
    <w:rsid w:val="00DE55F2"/>
    <w:rsid w:val="00DE6E84"/>
    <w:rsid w:val="00DF0FBD"/>
    <w:rsid w:val="00DF1307"/>
    <w:rsid w:val="00DF3271"/>
    <w:rsid w:val="00DF7C22"/>
    <w:rsid w:val="00E01B63"/>
    <w:rsid w:val="00E039EB"/>
    <w:rsid w:val="00E03E21"/>
    <w:rsid w:val="00E06A18"/>
    <w:rsid w:val="00E07D9C"/>
    <w:rsid w:val="00E13883"/>
    <w:rsid w:val="00E15A1D"/>
    <w:rsid w:val="00E16C61"/>
    <w:rsid w:val="00E17678"/>
    <w:rsid w:val="00E20086"/>
    <w:rsid w:val="00E227EB"/>
    <w:rsid w:val="00E311C4"/>
    <w:rsid w:val="00E3127C"/>
    <w:rsid w:val="00E32E4E"/>
    <w:rsid w:val="00E35952"/>
    <w:rsid w:val="00E43A48"/>
    <w:rsid w:val="00E46635"/>
    <w:rsid w:val="00E52273"/>
    <w:rsid w:val="00E5672D"/>
    <w:rsid w:val="00E61521"/>
    <w:rsid w:val="00E6408B"/>
    <w:rsid w:val="00E71302"/>
    <w:rsid w:val="00E72DAE"/>
    <w:rsid w:val="00E73625"/>
    <w:rsid w:val="00E73CCD"/>
    <w:rsid w:val="00E743DC"/>
    <w:rsid w:val="00E753B6"/>
    <w:rsid w:val="00E76B1D"/>
    <w:rsid w:val="00E8093D"/>
    <w:rsid w:val="00E81C7F"/>
    <w:rsid w:val="00EA5F00"/>
    <w:rsid w:val="00EA7A32"/>
    <w:rsid w:val="00EA7CAF"/>
    <w:rsid w:val="00EB41FA"/>
    <w:rsid w:val="00EB5984"/>
    <w:rsid w:val="00EB7C12"/>
    <w:rsid w:val="00EC0424"/>
    <w:rsid w:val="00EC0CE9"/>
    <w:rsid w:val="00EC5196"/>
    <w:rsid w:val="00EC7BC6"/>
    <w:rsid w:val="00ED1AB4"/>
    <w:rsid w:val="00ED3FA5"/>
    <w:rsid w:val="00ED44AF"/>
    <w:rsid w:val="00ED4BD8"/>
    <w:rsid w:val="00ED60A8"/>
    <w:rsid w:val="00ED68E8"/>
    <w:rsid w:val="00ED710D"/>
    <w:rsid w:val="00EE141C"/>
    <w:rsid w:val="00EE35AC"/>
    <w:rsid w:val="00EE35E0"/>
    <w:rsid w:val="00EE7283"/>
    <w:rsid w:val="00EF6393"/>
    <w:rsid w:val="00F076F1"/>
    <w:rsid w:val="00F106E9"/>
    <w:rsid w:val="00F13B98"/>
    <w:rsid w:val="00F24352"/>
    <w:rsid w:val="00F246EA"/>
    <w:rsid w:val="00F327BB"/>
    <w:rsid w:val="00F3367D"/>
    <w:rsid w:val="00F336DD"/>
    <w:rsid w:val="00F338AD"/>
    <w:rsid w:val="00F34A96"/>
    <w:rsid w:val="00F35EF8"/>
    <w:rsid w:val="00F51C69"/>
    <w:rsid w:val="00F53231"/>
    <w:rsid w:val="00F57961"/>
    <w:rsid w:val="00F67CCB"/>
    <w:rsid w:val="00F734A2"/>
    <w:rsid w:val="00F761DF"/>
    <w:rsid w:val="00F76FE0"/>
    <w:rsid w:val="00F77B12"/>
    <w:rsid w:val="00F81A62"/>
    <w:rsid w:val="00F821C2"/>
    <w:rsid w:val="00F85DD0"/>
    <w:rsid w:val="00F87460"/>
    <w:rsid w:val="00F878A5"/>
    <w:rsid w:val="00F9296C"/>
    <w:rsid w:val="00F92A38"/>
    <w:rsid w:val="00FA4FAF"/>
    <w:rsid w:val="00FB27B1"/>
    <w:rsid w:val="00FB41A3"/>
    <w:rsid w:val="00FC0005"/>
    <w:rsid w:val="00FC6C4B"/>
    <w:rsid w:val="00FD4C0A"/>
    <w:rsid w:val="00FE1F47"/>
    <w:rsid w:val="00FE24B7"/>
    <w:rsid w:val="00FE5651"/>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16D9"/>
  <w15:chartTrackingRefBased/>
  <w15:docId w15:val="{F469FE53-F10B-4AB2-A2B8-32357F24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5004"/>
    <w:pPr>
      <w:keepNext/>
      <w:keepLines/>
      <w:spacing w:before="480" w:after="0" w:line="240" w:lineRule="auto"/>
      <w:ind w:left="1296"/>
      <w:outlineLvl w:val="0"/>
    </w:pPr>
    <w:rPr>
      <w:rFonts w:ascii="Times New Roman" w:eastAsiaTheme="majorEastAsia" w:hAnsi="Times New Roman" w:cstheme="majorBidi"/>
      <w:b/>
      <w:bCs/>
      <w:sz w:val="24"/>
      <w:szCs w:val="28"/>
      <w:lang w:val="lt-LT"/>
    </w:rPr>
  </w:style>
  <w:style w:type="paragraph" w:styleId="Heading2">
    <w:name w:val="heading 2"/>
    <w:basedOn w:val="Normal"/>
    <w:next w:val="Normal"/>
    <w:link w:val="Heading2Char"/>
    <w:uiPriority w:val="9"/>
    <w:unhideWhenUsed/>
    <w:qFormat/>
    <w:rsid w:val="0090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004"/>
    <w:rPr>
      <w:rFonts w:ascii="Times New Roman" w:eastAsiaTheme="majorEastAsia" w:hAnsi="Times New Roman" w:cstheme="majorBidi"/>
      <w:b/>
      <w:bCs/>
      <w:sz w:val="24"/>
      <w:szCs w:val="28"/>
      <w:lang w:val="lt-LT"/>
    </w:rPr>
  </w:style>
  <w:style w:type="paragraph" w:styleId="BodyText">
    <w:name w:val="Body Text"/>
    <w:basedOn w:val="Normal"/>
    <w:link w:val="BodyTextChar"/>
    <w:rsid w:val="00905004"/>
    <w:pPr>
      <w:spacing w:after="0" w:line="240" w:lineRule="auto"/>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905004"/>
    <w:rPr>
      <w:rFonts w:ascii="Times New Roman" w:eastAsia="Times New Roman" w:hAnsi="Times New Roman" w:cs="Times New Roman"/>
      <w:sz w:val="24"/>
      <w:szCs w:val="24"/>
      <w:lang w:val="lt-LT"/>
    </w:rPr>
  </w:style>
  <w:style w:type="paragraph" w:styleId="TOC1">
    <w:name w:val="toc 1"/>
    <w:basedOn w:val="Normal"/>
    <w:next w:val="Normal"/>
    <w:autoRedefine/>
    <w:uiPriority w:val="39"/>
    <w:rsid w:val="00944F3E"/>
    <w:pPr>
      <w:tabs>
        <w:tab w:val="left" w:pos="567"/>
        <w:tab w:val="right" w:leader="dot" w:pos="10691"/>
      </w:tabs>
      <w:spacing w:after="0" w:line="240" w:lineRule="auto"/>
      <w:ind w:left="567" w:hanging="567"/>
    </w:pPr>
    <w:rPr>
      <w:rFonts w:ascii="Times New Roman" w:eastAsia="Times New Roman" w:hAnsi="Times New Roman" w:cs="Times New Roman"/>
      <w:b/>
      <w:sz w:val="20"/>
      <w:szCs w:val="20"/>
    </w:rPr>
  </w:style>
  <w:style w:type="character" w:styleId="Hyperlink">
    <w:name w:val="Hyperlink"/>
    <w:basedOn w:val="DefaultParagraphFont"/>
    <w:uiPriority w:val="99"/>
    <w:rsid w:val="00905004"/>
    <w:rPr>
      <w:color w:val="0000FF"/>
      <w:u w:val="single"/>
    </w:rPr>
  </w:style>
  <w:style w:type="paragraph" w:styleId="BalloonText">
    <w:name w:val="Balloon Text"/>
    <w:basedOn w:val="Normal"/>
    <w:link w:val="BalloonTextChar"/>
    <w:uiPriority w:val="99"/>
    <w:semiHidden/>
    <w:unhideWhenUsed/>
    <w:rsid w:val="0090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04"/>
    <w:rPr>
      <w:rFonts w:ascii="Segoe UI" w:hAnsi="Segoe UI" w:cs="Segoe UI"/>
      <w:sz w:val="18"/>
      <w:szCs w:val="18"/>
    </w:rPr>
  </w:style>
  <w:style w:type="paragraph" w:styleId="ListParagraph">
    <w:name w:val="List Paragraph"/>
    <w:basedOn w:val="Normal"/>
    <w:uiPriority w:val="34"/>
    <w:qFormat/>
    <w:rsid w:val="00905004"/>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90500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rsid w:val="00905004"/>
    <w:rPr>
      <w:sz w:val="16"/>
      <w:szCs w:val="16"/>
    </w:rPr>
  </w:style>
  <w:style w:type="paragraph" w:styleId="CommentText">
    <w:name w:val="annotation text"/>
    <w:basedOn w:val="Normal"/>
    <w:link w:val="CommentTextChar"/>
    <w:semiHidden/>
    <w:rsid w:val="0090500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905004"/>
    <w:rPr>
      <w:rFonts w:ascii="Times New Roman" w:eastAsia="Times New Roman" w:hAnsi="Times New Roman" w:cs="Times New Roman"/>
      <w:sz w:val="20"/>
      <w:szCs w:val="20"/>
      <w:lang w:val="lt-LT"/>
    </w:rPr>
  </w:style>
  <w:style w:type="table" w:styleId="TableGrid">
    <w:name w:val="Table Grid"/>
    <w:basedOn w:val="TableNormal"/>
    <w:rsid w:val="00905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EAB"/>
    <w:pPr>
      <w:tabs>
        <w:tab w:val="center" w:pos="4986"/>
        <w:tab w:val="right" w:pos="9972"/>
      </w:tabs>
      <w:spacing w:after="0" w:line="240" w:lineRule="auto"/>
    </w:pPr>
  </w:style>
  <w:style w:type="character" w:customStyle="1" w:styleId="HeaderChar">
    <w:name w:val="Header Char"/>
    <w:basedOn w:val="DefaultParagraphFont"/>
    <w:link w:val="Header"/>
    <w:uiPriority w:val="99"/>
    <w:rsid w:val="00670EAB"/>
  </w:style>
  <w:style w:type="paragraph" w:styleId="Footer">
    <w:name w:val="footer"/>
    <w:basedOn w:val="Normal"/>
    <w:link w:val="FooterChar"/>
    <w:uiPriority w:val="99"/>
    <w:unhideWhenUsed/>
    <w:rsid w:val="00670EAB"/>
    <w:pPr>
      <w:tabs>
        <w:tab w:val="center" w:pos="4986"/>
        <w:tab w:val="right" w:pos="9972"/>
      </w:tabs>
      <w:spacing w:after="0" w:line="240" w:lineRule="auto"/>
    </w:pPr>
  </w:style>
  <w:style w:type="character" w:customStyle="1" w:styleId="FooterChar">
    <w:name w:val="Footer Char"/>
    <w:basedOn w:val="DefaultParagraphFont"/>
    <w:link w:val="Footer"/>
    <w:uiPriority w:val="99"/>
    <w:rsid w:val="00670EAB"/>
  </w:style>
  <w:style w:type="character" w:styleId="FollowedHyperlink">
    <w:name w:val="FollowedHyperlink"/>
    <w:basedOn w:val="DefaultParagraphFont"/>
    <w:uiPriority w:val="99"/>
    <w:semiHidden/>
    <w:unhideWhenUsed/>
    <w:rsid w:val="00BD751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1B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51B03"/>
    <w:rPr>
      <w:rFonts w:ascii="Times New Roman" w:eastAsia="Times New Roman" w:hAnsi="Times New Roman" w:cs="Times New Roman"/>
      <w:b/>
      <w:bCs/>
      <w:sz w:val="20"/>
      <w:szCs w:val="20"/>
      <w:lang w:val="lt-LT"/>
    </w:rPr>
  </w:style>
  <w:style w:type="paragraph" w:customStyle="1" w:styleId="Default">
    <w:name w:val="Default"/>
    <w:rsid w:val="00CD7DD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F85DD0"/>
    <w:pPr>
      <w:spacing w:before="240" w:line="259" w:lineRule="auto"/>
      <w:ind w:left="0"/>
      <w:outlineLvl w:val="9"/>
    </w:pPr>
    <w:rPr>
      <w:rFonts w:asciiTheme="majorHAnsi" w:hAnsiTheme="majorHAnsi"/>
      <w:b w:val="0"/>
      <w:bCs w:val="0"/>
      <w:color w:val="2F5496" w:themeColor="accent1" w:themeShade="BF"/>
      <w:sz w:val="32"/>
      <w:szCs w:val="32"/>
      <w:lang w:val="en-US"/>
    </w:rPr>
  </w:style>
  <w:style w:type="paragraph" w:styleId="TOC2">
    <w:name w:val="toc 2"/>
    <w:basedOn w:val="Normal"/>
    <w:next w:val="Normal"/>
    <w:autoRedefine/>
    <w:uiPriority w:val="39"/>
    <w:unhideWhenUsed/>
    <w:rsid w:val="00AD40A2"/>
    <w:pPr>
      <w:spacing w:after="100"/>
      <w:ind w:left="220"/>
    </w:pPr>
  </w:style>
  <w:style w:type="paragraph" w:styleId="Revision">
    <w:name w:val="Revision"/>
    <w:hidden/>
    <w:uiPriority w:val="99"/>
    <w:semiHidden/>
    <w:rsid w:val="0094053C"/>
    <w:pPr>
      <w:spacing w:after="0" w:line="240" w:lineRule="auto"/>
    </w:pPr>
  </w:style>
  <w:style w:type="character" w:styleId="UnresolvedMention">
    <w:name w:val="Unresolved Mention"/>
    <w:basedOn w:val="DefaultParagraphFont"/>
    <w:uiPriority w:val="99"/>
    <w:semiHidden/>
    <w:unhideWhenUsed/>
    <w:rsid w:val="00D0230A"/>
    <w:rPr>
      <w:color w:val="605E5C"/>
      <w:shd w:val="clear" w:color="auto" w:fill="E1DFDD"/>
    </w:rPr>
  </w:style>
  <w:style w:type="character" w:customStyle="1" w:styleId="cf01">
    <w:name w:val="cf01"/>
    <w:basedOn w:val="DefaultParagraphFont"/>
    <w:rsid w:val="006F7E41"/>
    <w:rPr>
      <w:rFonts w:ascii="Segoe UI" w:hAnsi="Segoe UI" w:cs="Segoe UI" w:hint="default"/>
      <w:b/>
      <w:bCs/>
      <w:color w:val="FF0000"/>
      <w:sz w:val="18"/>
      <w:szCs w:val="18"/>
    </w:rPr>
  </w:style>
  <w:style w:type="character" w:customStyle="1" w:styleId="cf11">
    <w:name w:val="cf11"/>
    <w:basedOn w:val="DefaultParagraphFont"/>
    <w:rsid w:val="006F7E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77502">
      <w:bodyDiv w:val="1"/>
      <w:marLeft w:val="0"/>
      <w:marRight w:val="0"/>
      <w:marTop w:val="0"/>
      <w:marBottom w:val="0"/>
      <w:divBdr>
        <w:top w:val="none" w:sz="0" w:space="0" w:color="auto"/>
        <w:left w:val="none" w:sz="0" w:space="0" w:color="auto"/>
        <w:bottom w:val="none" w:sz="0" w:space="0" w:color="auto"/>
        <w:right w:val="none" w:sz="0" w:space="0" w:color="auto"/>
      </w:divBdr>
    </w:div>
    <w:div w:id="20610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0c6bfd07bd511e6a0f68fd135e6f40c/asr" TargetMode="External"/><Relationship Id="rId13" Type="http://schemas.openxmlformats.org/officeDocument/2006/relationships/hyperlink" Target="https://www.e-tar.lt/portal/lt/legalAct/091d74d058d011ec862fdcbc8b3e3e05" TargetMode="External"/><Relationship Id="rId18" Type="http://schemas.openxmlformats.org/officeDocument/2006/relationships/hyperlink" Target="https://www.stt.lt/data/public/uploads/2022/06/antikorupcijos_aplinkos_kurimo_vadovas-202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anesk@vv.lt" TargetMode="External"/><Relationship Id="rId7" Type="http://schemas.openxmlformats.org/officeDocument/2006/relationships/endnotes" Target="endnotes.xml"/><Relationship Id="rId12" Type="http://schemas.openxmlformats.org/officeDocument/2006/relationships/hyperlink" Target="https://vtek.lt/wp-content/uploads/2025/06/VTEK_sprendimas_Dovanu_registravimas_PINREG.pdf" TargetMode="External"/><Relationship Id="rId17" Type="http://schemas.openxmlformats.org/officeDocument/2006/relationships/hyperlink" Target="https://www.vv.lt/wp-content/uploads/2025/06/VTA-I25-10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imas.lrs.lt/portal/legalAct/lt/TAD/ed96d333bad011ea9a12d0dada3ca61b" TargetMode="External"/><Relationship Id="rId20" Type="http://schemas.openxmlformats.org/officeDocument/2006/relationships/hyperlink" Target="https://www.v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tek.lt/wp-content/uploads/2021/01/VTEK_Rekomendacines_gaires_del_dovanu_ir_paslaugu_priemimo_apribojimu_20200312_fi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imas.lrs.lt/portal/legalAct/lt/TAD/b146ff50ed8a11e89d4ad92e8434e309/asr" TargetMode="External"/><Relationship Id="rId23" Type="http://schemas.openxmlformats.org/officeDocument/2006/relationships/hyperlink" Target="http://www.vv.lt" TargetMode="External"/><Relationship Id="rId10" Type="http://schemas.openxmlformats.org/officeDocument/2006/relationships/hyperlink" Target="https://www.e-tar.lt/portal/lt/legalAct/TAR.C0E550D6ADF0/asr" TargetMode="External"/><Relationship Id="rId19" Type="http://schemas.openxmlformats.org/officeDocument/2006/relationships/hyperlink" Target="https://www.vv.lt" TargetMode="External"/><Relationship Id="rId4" Type="http://schemas.openxmlformats.org/officeDocument/2006/relationships/settings" Target="settings.xml"/><Relationship Id="rId9" Type="http://schemas.openxmlformats.org/officeDocument/2006/relationships/hyperlink" Target="https://www.e-tar.lt/portal/lt/legalAct/TAR.4DBDE27621A2/asr" TargetMode="External"/><Relationship Id="rId14" Type="http://schemas.openxmlformats.org/officeDocument/2006/relationships/hyperlink" Target="https://www.e-tar.lt/portal/lt/legalAct/2986b360db3611e7910a89ac20768b0f/asr" TargetMode="External"/><Relationship Id="rId22" Type="http://schemas.openxmlformats.org/officeDocument/2006/relationships/hyperlink" Target="mailto:pasitikejimolinija@v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E1E7-D250-4882-AC5B-5C32103F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19346</Words>
  <Characters>11028</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Sviackevičienė</dc:creator>
  <cp:keywords/>
  <dc:description/>
  <cp:lastModifiedBy>Olga Meškienė</cp:lastModifiedBy>
  <cp:revision>57</cp:revision>
  <cp:lastPrinted>2024-07-17T08:29:00Z</cp:lastPrinted>
  <dcterms:created xsi:type="dcterms:W3CDTF">2025-09-15T10:23:00Z</dcterms:created>
  <dcterms:modified xsi:type="dcterms:W3CDTF">2025-10-22T12:01:00Z</dcterms:modified>
</cp:coreProperties>
</file>